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7511A" w14:textId="531F40CB" w:rsidR="00D74733" w:rsidRPr="00A00299" w:rsidRDefault="004B0482" w:rsidP="00ED70DE">
      <w:pPr>
        <w:spacing w:line="480" w:lineRule="auto"/>
        <w:jc w:val="center"/>
        <w:outlineLvl w:val="0"/>
        <w:rPr>
          <w:rFonts w:ascii="Palatino Linotype" w:hAnsi="Palatino Linotype"/>
          <w:b/>
          <w:u w:val="single"/>
        </w:rPr>
      </w:pPr>
      <w:r w:rsidRPr="00A00299">
        <w:rPr>
          <w:rFonts w:ascii="Palatino Linotype" w:hAnsi="Palatino Linotype"/>
          <w:b/>
          <w:u w:val="single"/>
        </w:rPr>
        <w:t>Belief</w:t>
      </w:r>
      <w:r w:rsidR="00661445" w:rsidRPr="00A00299">
        <w:rPr>
          <w:rFonts w:ascii="Palatino Linotype" w:hAnsi="Palatino Linotype"/>
          <w:b/>
          <w:u w:val="single"/>
        </w:rPr>
        <w:t xml:space="preserve"> as Emotion</w:t>
      </w:r>
    </w:p>
    <w:p w14:paraId="14B9F4F9" w14:textId="77777777" w:rsidR="00D74733" w:rsidRPr="00A00299" w:rsidRDefault="00D74733" w:rsidP="00D74733">
      <w:pPr>
        <w:spacing w:line="480" w:lineRule="auto"/>
        <w:outlineLvl w:val="0"/>
        <w:rPr>
          <w:rFonts w:ascii="Palatino Linotype" w:hAnsi="Palatino Linotype"/>
          <w:b/>
        </w:rPr>
      </w:pPr>
      <w:r w:rsidRPr="00A00299">
        <w:rPr>
          <w:rFonts w:ascii="Palatino Linotype" w:hAnsi="Palatino Linotype"/>
          <w:b/>
        </w:rPr>
        <w:t>Abstract</w:t>
      </w:r>
    </w:p>
    <w:p w14:paraId="3CF7AA8E" w14:textId="3684AD5F" w:rsidR="00D74733" w:rsidRPr="00A00299" w:rsidRDefault="00D74733" w:rsidP="00D7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
        <w:rPr>
          <w:rFonts w:ascii="Palatino Linotype" w:hAnsi="Palatino Linotype"/>
        </w:rPr>
      </w:pPr>
      <w:r w:rsidRPr="00A00299">
        <w:rPr>
          <w:rFonts w:ascii="Palatino Linotype" w:hAnsi="Palatino Linotype"/>
        </w:rPr>
        <w:t>It is commonly held that (</w:t>
      </w:r>
      <w:proofErr w:type="spellStart"/>
      <w:r w:rsidRPr="00A00299">
        <w:rPr>
          <w:rFonts w:ascii="Palatino Linotype" w:hAnsi="Palatino Linotype"/>
        </w:rPr>
        <w:t>i</w:t>
      </w:r>
      <w:proofErr w:type="spellEnd"/>
      <w:r w:rsidRPr="00A00299">
        <w:rPr>
          <w:rFonts w:ascii="Palatino Linotype" w:hAnsi="Palatino Linotype"/>
        </w:rPr>
        <w:t xml:space="preserve">) beliefs are </w:t>
      </w:r>
      <w:r w:rsidR="00F63108" w:rsidRPr="00A00299">
        <w:rPr>
          <w:rFonts w:ascii="Palatino Linotype" w:hAnsi="Palatino Linotype"/>
        </w:rPr>
        <w:t xml:space="preserve">revisable in the face of counter-evidence </w:t>
      </w:r>
      <w:r w:rsidRPr="00A00299">
        <w:rPr>
          <w:rFonts w:ascii="Palatino Linotype" w:hAnsi="Palatino Linotype"/>
        </w:rPr>
        <w:t xml:space="preserve"> and (ii) beliefs are connected to actions in reliable and predictable ways. Given such a view, many argue that if a mental state fails to respond to evidence or doesn’t result in the kind of behavior typical or expected of belief, it is not a belief after all, but a different state. Yet, one finds seeming counter examples of resilient beliefs that fail to respond to evidence, or that do not connect to action in the way we would expect them to.  I offer a view of belief that does not force us to exclude states as </w:t>
      </w:r>
      <w:r w:rsidRPr="00A00299">
        <w:rPr>
          <w:rFonts w:ascii="Palatino Linotype" w:hAnsi="Palatino Linotype"/>
          <w:i/>
        </w:rPr>
        <w:t xml:space="preserve">real </w:t>
      </w:r>
      <w:r w:rsidRPr="00A00299">
        <w:rPr>
          <w:rFonts w:ascii="Palatino Linotype" w:hAnsi="Palatino Linotype"/>
        </w:rPr>
        <w:t>beliefs that we pre-reflectively think of as beliefs, and that does not require us to “outsource” the work belief seems to do to other mental states. Rather than assume that belief is a purely cognitive state, I propose that we view belief as a type of emotion where emotions are understood as including cognitive and non-cognitive elements.  Thinking of beliefs as emotions can help us make sense of resilient or recalcitrant beliefs, of seeming breakdowns between belief and actions, and offer insight into the phenomena of persistent disagreement and self-deception.</w:t>
      </w:r>
    </w:p>
    <w:p w14:paraId="35AEFA02" w14:textId="77777777" w:rsidR="00D74733" w:rsidRPr="00A00299" w:rsidRDefault="00D74733" w:rsidP="00D74733">
      <w:pPr>
        <w:spacing w:line="480" w:lineRule="auto"/>
        <w:outlineLvl w:val="0"/>
        <w:rPr>
          <w:rFonts w:ascii="Palatino Linotype" w:hAnsi="Palatino Linotype"/>
          <w:b/>
          <w:u w:val="single"/>
        </w:rPr>
      </w:pPr>
    </w:p>
    <w:p w14:paraId="04CDD708" w14:textId="6A4ECDAA" w:rsidR="006C11AB" w:rsidRPr="00A00299" w:rsidRDefault="006C11AB" w:rsidP="002C4DF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Linotype" w:hAnsi="Palatino Linotype"/>
        </w:rPr>
      </w:pPr>
      <w:r w:rsidRPr="00A00299">
        <w:rPr>
          <w:rFonts w:ascii="Palatino Linotype" w:hAnsi="Palatino Linotype"/>
          <w:b/>
        </w:rPr>
        <w:t>Introduction</w:t>
      </w:r>
      <w:r w:rsidR="005048DB" w:rsidRPr="00A00299">
        <w:rPr>
          <w:rFonts w:ascii="Palatino Linotype" w:hAnsi="Palatino Linotype"/>
        </w:rPr>
        <w:tab/>
      </w:r>
      <w:r w:rsidRPr="00A00299">
        <w:rPr>
          <w:rFonts w:ascii="Palatino Linotype" w:hAnsi="Palatino Linotype"/>
        </w:rPr>
        <w:tab/>
      </w:r>
    </w:p>
    <w:p w14:paraId="7880DDE6" w14:textId="72315325" w:rsidR="0075022F" w:rsidRPr="00A00299" w:rsidRDefault="006C11AB" w:rsidP="00FF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
        <w:rPr>
          <w:rFonts w:ascii="Palatino Linotype" w:hAnsi="Palatino Linotype"/>
        </w:rPr>
      </w:pPr>
      <w:r w:rsidRPr="00A00299">
        <w:rPr>
          <w:rFonts w:ascii="Palatino Linotype" w:hAnsi="Palatino Linotype"/>
        </w:rPr>
        <w:tab/>
      </w:r>
      <w:r w:rsidR="00FB5E1D" w:rsidRPr="00A00299">
        <w:rPr>
          <w:rFonts w:ascii="Palatino Linotype" w:hAnsi="Palatino Linotype"/>
        </w:rPr>
        <w:t xml:space="preserve"> </w:t>
      </w:r>
      <w:r w:rsidR="000D6FBC" w:rsidRPr="00A00299">
        <w:rPr>
          <w:rFonts w:ascii="Palatino Linotype" w:hAnsi="Palatino Linotype"/>
        </w:rPr>
        <w:t>Beliefs figure prominently in our explan</w:t>
      </w:r>
      <w:r w:rsidR="00E26CEB" w:rsidRPr="00A00299">
        <w:rPr>
          <w:rFonts w:ascii="Palatino Linotype" w:hAnsi="Palatino Linotype"/>
        </w:rPr>
        <w:t xml:space="preserve">ations and understanding of one </w:t>
      </w:r>
      <w:r w:rsidR="000D6FBC" w:rsidRPr="00A00299">
        <w:rPr>
          <w:rFonts w:ascii="Palatino Linotype" w:hAnsi="Palatino Linotype"/>
        </w:rPr>
        <w:lastRenderedPageBreak/>
        <w:t xml:space="preserve">another, </w:t>
      </w:r>
      <w:r w:rsidR="00683437" w:rsidRPr="00A00299">
        <w:rPr>
          <w:rFonts w:ascii="Palatino Linotype" w:hAnsi="Palatino Linotype"/>
        </w:rPr>
        <w:t xml:space="preserve">are </w:t>
      </w:r>
      <w:r w:rsidR="000D6FBC" w:rsidRPr="00A00299">
        <w:rPr>
          <w:rFonts w:ascii="Palatino Linotype" w:hAnsi="Palatino Linotype"/>
        </w:rPr>
        <w:t>essential for navigating our way around the wor</w:t>
      </w:r>
      <w:r w:rsidR="00745A1A" w:rsidRPr="00A00299">
        <w:rPr>
          <w:rFonts w:ascii="Palatino Linotype" w:hAnsi="Palatino Linotype"/>
        </w:rPr>
        <w:t>l</w:t>
      </w:r>
      <w:r w:rsidR="000D6FBC" w:rsidRPr="00A00299">
        <w:rPr>
          <w:rFonts w:ascii="Palatino Linotype" w:hAnsi="Palatino Linotype"/>
        </w:rPr>
        <w:t>d, and at times help define our characters and motivations. It is not surprising, then, that b</w:t>
      </w:r>
      <w:r w:rsidR="00FB5E1D" w:rsidRPr="00A00299">
        <w:rPr>
          <w:rFonts w:ascii="Palatino Linotype" w:hAnsi="Palatino Linotype"/>
        </w:rPr>
        <w:t xml:space="preserve">eliefs </w:t>
      </w:r>
      <w:r w:rsidR="000D6FBC" w:rsidRPr="00A00299">
        <w:rPr>
          <w:rFonts w:ascii="Palatino Linotype" w:hAnsi="Palatino Linotype"/>
        </w:rPr>
        <w:t xml:space="preserve">also </w:t>
      </w:r>
      <w:r w:rsidR="003D1A4D" w:rsidRPr="00A00299">
        <w:rPr>
          <w:rFonts w:ascii="Palatino Linotype" w:hAnsi="Palatino Linotype"/>
        </w:rPr>
        <w:t xml:space="preserve">figure prominently in many philosophical discussions and debates. </w:t>
      </w:r>
      <w:r w:rsidR="00C044C3" w:rsidRPr="00A00299">
        <w:rPr>
          <w:rFonts w:ascii="Palatino Linotype" w:hAnsi="Palatino Linotype"/>
        </w:rPr>
        <w:t xml:space="preserve"> But it is</w:t>
      </w:r>
      <w:r w:rsidR="00CC76AB" w:rsidRPr="00A00299">
        <w:rPr>
          <w:rFonts w:ascii="Palatino Linotype" w:hAnsi="Palatino Linotype"/>
        </w:rPr>
        <w:t xml:space="preserve"> not always clear what</w:t>
      </w:r>
      <w:r w:rsidR="00C044C3" w:rsidRPr="00A00299">
        <w:rPr>
          <w:rFonts w:ascii="Palatino Linotype" w:hAnsi="Palatino Linotype"/>
        </w:rPr>
        <w:t xml:space="preserve"> is being investigated</w:t>
      </w:r>
      <w:r w:rsidR="00B04C3D" w:rsidRPr="00A00299">
        <w:rPr>
          <w:rFonts w:ascii="Palatino Linotype" w:hAnsi="Palatino Linotype"/>
        </w:rPr>
        <w:t xml:space="preserve"> in these discussi</w:t>
      </w:r>
      <w:r w:rsidR="00297735" w:rsidRPr="00A00299">
        <w:rPr>
          <w:rFonts w:ascii="Palatino Linotype" w:hAnsi="Palatino Linotype"/>
        </w:rPr>
        <w:t xml:space="preserve">ons, or if the same phenomenon is </w:t>
      </w:r>
      <w:r w:rsidR="00B04C3D" w:rsidRPr="00A00299">
        <w:rPr>
          <w:rFonts w:ascii="Palatino Linotype" w:hAnsi="Palatino Linotype"/>
        </w:rPr>
        <w:t>bei</w:t>
      </w:r>
      <w:r w:rsidR="003F12DC" w:rsidRPr="00A00299">
        <w:rPr>
          <w:rFonts w:ascii="Palatino Linotype" w:hAnsi="Palatino Linotype"/>
        </w:rPr>
        <w:t xml:space="preserve">ng discussed in all the </w:t>
      </w:r>
      <w:r w:rsidR="00B04C3D" w:rsidRPr="00A00299">
        <w:rPr>
          <w:rFonts w:ascii="Palatino Linotype" w:hAnsi="Palatino Linotype"/>
        </w:rPr>
        <w:t>debates about belief</w:t>
      </w:r>
      <w:r w:rsidR="0025620F" w:rsidRPr="00A00299">
        <w:rPr>
          <w:rFonts w:ascii="Palatino Linotype" w:hAnsi="Palatino Linotype"/>
        </w:rPr>
        <w:t xml:space="preserve">. </w:t>
      </w:r>
      <w:r w:rsidR="00F06366" w:rsidRPr="00A00299">
        <w:rPr>
          <w:rFonts w:ascii="Palatino Linotype" w:hAnsi="Palatino Linotype"/>
        </w:rPr>
        <w:t xml:space="preserve">One way of trying to understand what kind of phenomenon is most closely captured by the designation of “belief” is to think about what distinguishes beliefs from other mental states. </w:t>
      </w:r>
      <w:r w:rsidR="007027E8" w:rsidRPr="00A00299">
        <w:rPr>
          <w:rFonts w:ascii="Palatino Linotype" w:hAnsi="Palatino Linotype"/>
        </w:rPr>
        <w:t xml:space="preserve"> </w:t>
      </w:r>
    </w:p>
    <w:p w14:paraId="70CF48C6" w14:textId="4F43579E" w:rsidR="0048128E" w:rsidRPr="00A00299" w:rsidRDefault="0075022F" w:rsidP="00481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
        <w:rPr>
          <w:rFonts w:ascii="Palatino Linotype" w:hAnsi="Palatino Linotype"/>
        </w:rPr>
      </w:pPr>
      <w:r w:rsidRPr="00A00299">
        <w:rPr>
          <w:rFonts w:ascii="Palatino Linotype" w:hAnsi="Palatino Linotype"/>
        </w:rPr>
        <w:tab/>
      </w:r>
      <w:r w:rsidR="005B4D1C" w:rsidRPr="00A00299">
        <w:rPr>
          <w:rFonts w:ascii="Palatino Linotype" w:hAnsi="Palatino Linotype"/>
        </w:rPr>
        <w:t>While accounts vary about belief’s distinctive</w:t>
      </w:r>
      <w:r w:rsidR="009D5A2D" w:rsidRPr="00A00299">
        <w:rPr>
          <w:rFonts w:ascii="Palatino Linotype" w:hAnsi="Palatino Linotype"/>
        </w:rPr>
        <w:t xml:space="preserve"> character, </w:t>
      </w:r>
      <w:r w:rsidR="006274F0" w:rsidRPr="00A00299">
        <w:rPr>
          <w:rFonts w:ascii="Palatino Linotype" w:hAnsi="Palatino Linotype"/>
        </w:rPr>
        <w:t>b</w:t>
      </w:r>
      <w:r w:rsidR="00A44718" w:rsidRPr="00A00299">
        <w:rPr>
          <w:rFonts w:ascii="Palatino Linotype" w:hAnsi="Palatino Linotype"/>
        </w:rPr>
        <w:t xml:space="preserve">ecause </w:t>
      </w:r>
      <w:r w:rsidR="00745A1A" w:rsidRPr="00A00299">
        <w:rPr>
          <w:rFonts w:ascii="Palatino Linotype" w:hAnsi="Palatino Linotype"/>
        </w:rPr>
        <w:t>a belief</w:t>
      </w:r>
      <w:r w:rsidR="00A44718" w:rsidRPr="00A00299">
        <w:rPr>
          <w:rFonts w:ascii="Palatino Linotype" w:hAnsi="Palatino Linotype"/>
        </w:rPr>
        <w:t xml:space="preserve"> can be true or false,</w:t>
      </w:r>
      <w:r w:rsidR="00F91EAA" w:rsidRPr="00A00299">
        <w:rPr>
          <w:rFonts w:ascii="Palatino Linotype" w:hAnsi="Palatino Linotype"/>
        </w:rPr>
        <w:t xml:space="preserve"> in a way that, for example</w:t>
      </w:r>
      <w:r w:rsidR="008D367B" w:rsidRPr="00A00299">
        <w:rPr>
          <w:rFonts w:ascii="Palatino Linotype" w:hAnsi="Palatino Linotype"/>
        </w:rPr>
        <w:t xml:space="preserve">, </w:t>
      </w:r>
      <w:r w:rsidR="00EA7A81" w:rsidRPr="00A00299">
        <w:rPr>
          <w:rFonts w:ascii="Palatino Linotype" w:hAnsi="Palatino Linotype"/>
        </w:rPr>
        <w:t xml:space="preserve">feeling angry or sad </w:t>
      </w:r>
      <w:r w:rsidR="008D367B" w:rsidRPr="00A00299">
        <w:rPr>
          <w:rFonts w:ascii="Palatino Linotype" w:hAnsi="Palatino Linotype"/>
        </w:rPr>
        <w:t xml:space="preserve">cannot be, </w:t>
      </w:r>
      <w:r w:rsidR="005B4D1C" w:rsidRPr="00A00299">
        <w:rPr>
          <w:rFonts w:ascii="Palatino Linotype" w:hAnsi="Palatino Linotype"/>
        </w:rPr>
        <w:t>belief</w:t>
      </w:r>
      <w:r w:rsidR="008D367B" w:rsidRPr="00A00299">
        <w:rPr>
          <w:rFonts w:ascii="Palatino Linotype" w:hAnsi="Palatino Linotype"/>
        </w:rPr>
        <w:t>s are seen as</w:t>
      </w:r>
      <w:r w:rsidR="005B4D1C" w:rsidRPr="00A00299">
        <w:rPr>
          <w:rFonts w:ascii="Palatino Linotype" w:hAnsi="Palatino Linotype"/>
        </w:rPr>
        <w:t xml:space="preserve"> </w:t>
      </w:r>
      <w:r w:rsidR="00C826DD" w:rsidRPr="00A00299">
        <w:rPr>
          <w:rFonts w:ascii="Palatino Linotype" w:eastAsia="Times New Roman" w:hAnsi="Palatino Linotype" w:cs="Times New Roman"/>
          <w:color w:val="1A1A1A"/>
          <w:shd w:val="clear" w:color="auto" w:fill="FFFFFF"/>
          <w:lang w:eastAsia="en-US"/>
        </w:rPr>
        <w:t>paradigmatically</w:t>
      </w:r>
      <w:r w:rsidR="00C826DD" w:rsidRPr="00A00299">
        <w:rPr>
          <w:rFonts w:ascii="Palatino Linotype" w:hAnsi="Palatino Linotype"/>
        </w:rPr>
        <w:t xml:space="preserve"> </w:t>
      </w:r>
      <w:r w:rsidR="005B4D1C" w:rsidRPr="00A00299">
        <w:rPr>
          <w:rFonts w:ascii="Palatino Linotype" w:hAnsi="Palatino Linotype"/>
          <w:i/>
        </w:rPr>
        <w:t>cognitive</w:t>
      </w:r>
      <w:r w:rsidR="005B4D1C" w:rsidRPr="00A00299">
        <w:rPr>
          <w:rFonts w:ascii="Palatino Linotype" w:hAnsi="Palatino Linotype"/>
        </w:rPr>
        <w:t xml:space="preserve"> state</w:t>
      </w:r>
      <w:r w:rsidR="008D367B" w:rsidRPr="00A00299">
        <w:rPr>
          <w:rFonts w:ascii="Palatino Linotype" w:hAnsi="Palatino Linotype"/>
        </w:rPr>
        <w:t>s</w:t>
      </w:r>
      <w:r w:rsidR="00F91EAA" w:rsidRPr="00A00299">
        <w:rPr>
          <w:rFonts w:ascii="Palatino Linotype" w:hAnsi="Palatino Linotype"/>
        </w:rPr>
        <w:t>.</w:t>
      </w:r>
      <w:r w:rsidR="00302DF0" w:rsidRPr="00A00299">
        <w:rPr>
          <w:rStyle w:val="FootnoteReference"/>
          <w:rFonts w:ascii="Palatino Linotype" w:hAnsi="Palatino Linotype"/>
        </w:rPr>
        <w:footnoteReference w:id="1"/>
      </w:r>
      <w:r w:rsidR="00F91EAA" w:rsidRPr="00A00299">
        <w:rPr>
          <w:rFonts w:ascii="Palatino Linotype" w:hAnsi="Palatino Linotype"/>
        </w:rPr>
        <w:t xml:space="preserve"> </w:t>
      </w:r>
      <w:r w:rsidR="00595511" w:rsidRPr="00A00299">
        <w:rPr>
          <w:rFonts w:ascii="Palatino Linotype" w:hAnsi="Palatino Linotype"/>
        </w:rPr>
        <w:t xml:space="preserve"> </w:t>
      </w:r>
      <w:r w:rsidR="00587646" w:rsidRPr="00A00299">
        <w:rPr>
          <w:rFonts w:ascii="Palatino Linotype" w:hAnsi="Palatino Linotype"/>
        </w:rPr>
        <w:t>What it means for a state or attitude to be cognitive, as opposed to conative or affectiv</w:t>
      </w:r>
      <w:r w:rsidR="00CE5E37" w:rsidRPr="00A00299">
        <w:rPr>
          <w:rFonts w:ascii="Palatino Linotype" w:hAnsi="Palatino Linotype"/>
        </w:rPr>
        <w:t>e</w:t>
      </w:r>
      <w:r w:rsidR="00C91FBC" w:rsidRPr="00A00299">
        <w:rPr>
          <w:rFonts w:ascii="Palatino Linotype" w:hAnsi="Palatino Linotype"/>
        </w:rPr>
        <w:t>,</w:t>
      </w:r>
      <w:r w:rsidR="00CE5E37" w:rsidRPr="00A00299">
        <w:rPr>
          <w:rFonts w:ascii="Palatino Linotype" w:hAnsi="Palatino Linotype"/>
        </w:rPr>
        <w:t xml:space="preserve"> is rarely made explicit, but a core idea </w:t>
      </w:r>
      <w:r w:rsidR="00FC7ED0" w:rsidRPr="00A00299">
        <w:rPr>
          <w:rFonts w:ascii="Palatino Linotype" w:hAnsi="Palatino Linotype"/>
        </w:rPr>
        <w:t xml:space="preserve">is that such attitudes are what constitute </w:t>
      </w:r>
      <w:r w:rsidR="00FC7ED0" w:rsidRPr="00A00299">
        <w:rPr>
          <w:rFonts w:ascii="Palatino Linotype" w:hAnsi="Palatino Linotype"/>
          <w:i/>
        </w:rPr>
        <w:t>thinking</w:t>
      </w:r>
      <w:r w:rsidR="00FC7ED0" w:rsidRPr="00A00299">
        <w:rPr>
          <w:rFonts w:ascii="Palatino Linotype" w:hAnsi="Palatino Linotype"/>
        </w:rPr>
        <w:t xml:space="preserve"> about the world in a way that can lead us to knowledge or to accurate repres</w:t>
      </w:r>
      <w:r w:rsidR="00745A1A" w:rsidRPr="00A00299">
        <w:rPr>
          <w:rFonts w:ascii="Palatino Linotype" w:hAnsi="Palatino Linotype"/>
        </w:rPr>
        <w:t xml:space="preserve">entations. Indeed, some take it as </w:t>
      </w:r>
      <w:r w:rsidR="00FC7ED0" w:rsidRPr="00A00299">
        <w:rPr>
          <w:rFonts w:ascii="Palatino Linotype" w:hAnsi="Palatino Linotype"/>
        </w:rPr>
        <w:t>constitutive of</w:t>
      </w:r>
      <w:r w:rsidR="00CA29FD" w:rsidRPr="00A00299">
        <w:rPr>
          <w:rFonts w:ascii="Palatino Linotype" w:hAnsi="Palatino Linotype"/>
        </w:rPr>
        <w:t xml:space="preserve"> an</w:t>
      </w:r>
      <w:r w:rsidR="00FC7ED0" w:rsidRPr="00A00299">
        <w:rPr>
          <w:rFonts w:ascii="Palatino Linotype" w:hAnsi="Palatino Linotype"/>
        </w:rPr>
        <w:t xml:space="preserve"> attitude </w:t>
      </w:r>
      <w:r w:rsidR="00CA29FD" w:rsidRPr="00A00299">
        <w:rPr>
          <w:rFonts w:ascii="Palatino Linotype" w:hAnsi="Palatino Linotype"/>
        </w:rPr>
        <w:t xml:space="preserve">being cognitive </w:t>
      </w:r>
      <w:r w:rsidR="00FC7ED0" w:rsidRPr="00A00299">
        <w:rPr>
          <w:rFonts w:ascii="Palatino Linotype" w:hAnsi="Palatino Linotype"/>
        </w:rPr>
        <w:t xml:space="preserve">that it has no phenomenal feel in the way that sensation, perception, or </w:t>
      </w:r>
      <w:r w:rsidR="00FC7ED0" w:rsidRPr="00A00299">
        <w:rPr>
          <w:rFonts w:ascii="Palatino Linotype" w:hAnsi="Palatino Linotype"/>
          <w:i/>
        </w:rPr>
        <w:t>feelings</w:t>
      </w:r>
      <w:r w:rsidR="00FC7ED0" w:rsidRPr="00A00299">
        <w:rPr>
          <w:rFonts w:ascii="Palatino Linotype" w:hAnsi="Palatino Linotype"/>
        </w:rPr>
        <w:t xml:space="preserve"> in general do.</w:t>
      </w:r>
      <w:r w:rsidR="00A86642" w:rsidRPr="00A00299">
        <w:rPr>
          <w:rStyle w:val="FootnoteReference"/>
          <w:rFonts w:ascii="Palatino Linotype" w:hAnsi="Palatino Linotype"/>
        </w:rPr>
        <w:footnoteReference w:id="2"/>
      </w:r>
      <w:r w:rsidR="00516673" w:rsidRPr="00A00299">
        <w:rPr>
          <w:rFonts w:ascii="Palatino Linotype" w:hAnsi="Palatino Linotype"/>
        </w:rPr>
        <w:t xml:space="preserve"> </w:t>
      </w:r>
      <w:r w:rsidR="00873885" w:rsidRPr="00A00299">
        <w:rPr>
          <w:rFonts w:ascii="Palatino Linotype" w:hAnsi="Palatino Linotype"/>
        </w:rPr>
        <w:t xml:space="preserve">Despite differences </w:t>
      </w:r>
      <w:r w:rsidR="00873885" w:rsidRPr="00A00299">
        <w:rPr>
          <w:rFonts w:ascii="Palatino Linotype" w:hAnsi="Palatino Linotype"/>
        </w:rPr>
        <w:lastRenderedPageBreak/>
        <w:t>in the way this s</w:t>
      </w:r>
      <w:r w:rsidR="00F83421" w:rsidRPr="00A00299">
        <w:rPr>
          <w:rFonts w:ascii="Palatino Linotype" w:hAnsi="Palatino Linotype"/>
        </w:rPr>
        <w:t>tate is characterized, i</w:t>
      </w:r>
      <w:r w:rsidR="00131B1C" w:rsidRPr="00A00299">
        <w:rPr>
          <w:rFonts w:ascii="Palatino Linotype" w:hAnsi="Palatino Linotype"/>
        </w:rPr>
        <w:t>t is commonly held that (</w:t>
      </w:r>
      <w:proofErr w:type="spellStart"/>
      <w:r w:rsidR="00131B1C" w:rsidRPr="00A00299">
        <w:rPr>
          <w:rFonts w:ascii="Palatino Linotype" w:hAnsi="Palatino Linotype"/>
        </w:rPr>
        <w:t>i</w:t>
      </w:r>
      <w:proofErr w:type="spellEnd"/>
      <w:r w:rsidR="00131B1C" w:rsidRPr="00A00299">
        <w:rPr>
          <w:rFonts w:ascii="Palatino Linotype" w:hAnsi="Palatino Linotype"/>
        </w:rPr>
        <w:t>)</w:t>
      </w:r>
      <w:r w:rsidR="00F83421" w:rsidRPr="00A00299">
        <w:rPr>
          <w:rFonts w:ascii="Palatino Linotype" w:hAnsi="Palatino Linotype"/>
        </w:rPr>
        <w:t xml:space="preserve"> beliefs are evidence-sensitive</w:t>
      </w:r>
      <w:r w:rsidR="0053428C" w:rsidRPr="00A00299">
        <w:rPr>
          <w:rFonts w:ascii="Palatino Linotype" w:hAnsi="Palatino Linotype"/>
        </w:rPr>
        <w:t>,</w:t>
      </w:r>
      <w:r w:rsidR="00131B1C" w:rsidRPr="00A00299">
        <w:rPr>
          <w:rFonts w:ascii="Palatino Linotype" w:hAnsi="Palatino Linotype"/>
        </w:rPr>
        <w:t xml:space="preserve"> </w:t>
      </w:r>
      <w:r w:rsidR="00FE12C0" w:rsidRPr="00A00299">
        <w:rPr>
          <w:rFonts w:ascii="Palatino Linotype" w:hAnsi="Palatino Linotype"/>
        </w:rPr>
        <w:t xml:space="preserve">meaning that </w:t>
      </w:r>
      <w:r w:rsidR="0048128E" w:rsidRPr="00A00299">
        <w:rPr>
          <w:rFonts w:ascii="Palatino Linotype" w:hAnsi="Palatino Linotype"/>
        </w:rPr>
        <w:t>they are revisable in the face of counter-evidence</w:t>
      </w:r>
      <w:r w:rsidR="0048128E" w:rsidRPr="00A00299">
        <w:rPr>
          <w:rStyle w:val="FootnoteReference"/>
          <w:rFonts w:ascii="Palatino Linotype" w:hAnsi="Palatino Linotype"/>
        </w:rPr>
        <w:footnoteReference w:id="3"/>
      </w:r>
      <w:r w:rsidR="0048128E" w:rsidRPr="00A00299">
        <w:rPr>
          <w:rFonts w:ascii="Palatino Linotype" w:hAnsi="Palatino Linotype"/>
        </w:rPr>
        <w:t xml:space="preserve"> and </w:t>
      </w:r>
      <w:r w:rsidR="00FE12C0" w:rsidRPr="00A00299">
        <w:rPr>
          <w:rFonts w:ascii="Palatino Linotype" w:hAnsi="Palatino Linotype"/>
        </w:rPr>
        <w:t xml:space="preserve"> </w:t>
      </w:r>
      <w:r w:rsidR="00131B1C" w:rsidRPr="00A00299">
        <w:rPr>
          <w:rFonts w:ascii="Palatino Linotype" w:hAnsi="Palatino Linotype"/>
        </w:rPr>
        <w:t xml:space="preserve">(ii) </w:t>
      </w:r>
      <w:r w:rsidR="00380E4E" w:rsidRPr="00A00299">
        <w:rPr>
          <w:rFonts w:ascii="Palatino Linotype" w:hAnsi="Palatino Linotype"/>
        </w:rPr>
        <w:t>beliefs are connected to actions such that actions can be explained by what one believes, and inferences can be made about what one believes by how one acts.</w:t>
      </w:r>
      <w:r w:rsidR="00F63108" w:rsidRPr="00A00299">
        <w:rPr>
          <w:rStyle w:val="FootnoteReference"/>
          <w:rFonts w:ascii="Palatino Linotype" w:hAnsi="Palatino Linotype"/>
        </w:rPr>
        <w:footnoteReference w:id="4"/>
      </w:r>
      <w:r w:rsidR="00F63108" w:rsidRPr="00A00299">
        <w:rPr>
          <w:rFonts w:ascii="Palatino Linotype" w:hAnsi="Palatino Linotype"/>
        </w:rPr>
        <w:t xml:space="preserve"> </w:t>
      </w:r>
      <w:r w:rsidR="00FE12C0" w:rsidRPr="00A00299">
        <w:rPr>
          <w:rFonts w:ascii="Palatino Linotype" w:hAnsi="Palatino Linotype"/>
        </w:rPr>
        <w:t xml:space="preserve">In what follows I sometimes </w:t>
      </w:r>
      <w:r w:rsidR="00745070" w:rsidRPr="00A00299">
        <w:rPr>
          <w:rFonts w:ascii="Palatino Linotype" w:hAnsi="Palatino Linotype"/>
        </w:rPr>
        <w:t xml:space="preserve">will refer to the view </w:t>
      </w:r>
      <w:r w:rsidR="00011E41" w:rsidRPr="00A00299">
        <w:rPr>
          <w:rFonts w:ascii="Palatino Linotype" w:hAnsi="Palatino Linotype"/>
        </w:rPr>
        <w:t>which</w:t>
      </w:r>
      <w:r w:rsidR="00FE12C0" w:rsidRPr="00A00299">
        <w:rPr>
          <w:rFonts w:ascii="Palatino Linotype" w:hAnsi="Palatino Linotype"/>
        </w:rPr>
        <w:t xml:space="preserve"> hold</w:t>
      </w:r>
      <w:r w:rsidR="00011E41" w:rsidRPr="00A00299">
        <w:rPr>
          <w:rFonts w:ascii="Palatino Linotype" w:hAnsi="Palatino Linotype"/>
        </w:rPr>
        <w:t>s these two features as</w:t>
      </w:r>
      <w:r w:rsidR="00C91FBC" w:rsidRPr="00A00299">
        <w:rPr>
          <w:rFonts w:ascii="Palatino Linotype" w:hAnsi="Palatino Linotype"/>
        </w:rPr>
        <w:t xml:space="preserve"> essential to belief as the “cognitivist” view</w:t>
      </w:r>
      <w:r w:rsidR="00745070" w:rsidRPr="00A00299">
        <w:rPr>
          <w:rFonts w:ascii="Palatino Linotype" w:hAnsi="Palatino Linotype"/>
        </w:rPr>
        <w:t xml:space="preserve"> of belief</w:t>
      </w:r>
      <w:r w:rsidR="00C91FBC" w:rsidRPr="00A00299">
        <w:rPr>
          <w:rFonts w:ascii="Palatino Linotype" w:hAnsi="Palatino Linotype"/>
        </w:rPr>
        <w:t xml:space="preserve">. </w:t>
      </w:r>
      <w:r w:rsidR="00380E4E" w:rsidRPr="00A00299">
        <w:rPr>
          <w:rFonts w:ascii="Palatino Linotype" w:hAnsi="Palatino Linotype"/>
        </w:rPr>
        <w:t>Given such a view, many argue that i</w:t>
      </w:r>
      <w:r w:rsidR="008C3551" w:rsidRPr="00A00299">
        <w:rPr>
          <w:rFonts w:ascii="Palatino Linotype" w:hAnsi="Palatino Linotype"/>
        </w:rPr>
        <w:t xml:space="preserve">f a mental state </w:t>
      </w:r>
      <w:r w:rsidR="00DE6986" w:rsidRPr="00A00299">
        <w:rPr>
          <w:rFonts w:ascii="Palatino Linotype" w:hAnsi="Palatino Linotype"/>
        </w:rPr>
        <w:t>fails to res</w:t>
      </w:r>
      <w:r w:rsidR="00380E4E" w:rsidRPr="00A00299">
        <w:rPr>
          <w:rFonts w:ascii="Palatino Linotype" w:hAnsi="Palatino Linotype"/>
        </w:rPr>
        <w:t>pond to evidence or does</w:t>
      </w:r>
      <w:r w:rsidR="00CA29FD" w:rsidRPr="00A00299">
        <w:rPr>
          <w:rFonts w:ascii="Palatino Linotype" w:hAnsi="Palatino Linotype"/>
        </w:rPr>
        <w:t>n’t</w:t>
      </w:r>
      <w:r w:rsidR="00380E4E" w:rsidRPr="00A00299">
        <w:rPr>
          <w:rFonts w:ascii="Palatino Linotype" w:hAnsi="Palatino Linotype"/>
        </w:rPr>
        <w:t xml:space="preserve"> result in</w:t>
      </w:r>
      <w:r w:rsidR="00DE6986" w:rsidRPr="00A00299">
        <w:rPr>
          <w:rFonts w:ascii="Palatino Linotype" w:hAnsi="Palatino Linotype"/>
        </w:rPr>
        <w:t xml:space="preserve"> </w:t>
      </w:r>
      <w:r w:rsidR="008F7311" w:rsidRPr="00A00299">
        <w:rPr>
          <w:rFonts w:ascii="Palatino Linotype" w:hAnsi="Palatino Linotype"/>
        </w:rPr>
        <w:t>the kind of behavior typical or expected of belief, it is not a belief after all, but a different state.</w:t>
      </w:r>
      <w:r w:rsidR="006C5E4D" w:rsidRPr="00A00299">
        <w:rPr>
          <w:rStyle w:val="FootnoteReference"/>
          <w:rFonts w:ascii="Palatino Linotype" w:hAnsi="Palatino Linotype"/>
        </w:rPr>
        <w:footnoteReference w:id="5"/>
      </w:r>
      <w:r w:rsidR="00C3673A" w:rsidRPr="00A00299">
        <w:rPr>
          <w:rFonts w:ascii="Palatino Linotype" w:hAnsi="Palatino Linotype"/>
        </w:rPr>
        <w:t xml:space="preserve"> </w:t>
      </w:r>
      <w:r w:rsidR="0048128E" w:rsidRPr="00A00299">
        <w:rPr>
          <w:rFonts w:ascii="Palatino Linotype" w:hAnsi="Palatino Linotype"/>
        </w:rPr>
        <w:t xml:space="preserve">  </w:t>
      </w:r>
      <w:r w:rsidR="00C3673A" w:rsidRPr="00A00299">
        <w:rPr>
          <w:rFonts w:ascii="Palatino Linotype" w:hAnsi="Palatino Linotype"/>
        </w:rPr>
        <w:t xml:space="preserve">Yet, one finds seeming counter examples </w:t>
      </w:r>
      <w:r w:rsidR="00CE1552" w:rsidRPr="00A00299">
        <w:rPr>
          <w:rFonts w:ascii="Palatino Linotype" w:hAnsi="Palatino Linotype"/>
        </w:rPr>
        <w:t>of</w:t>
      </w:r>
      <w:r w:rsidR="00CC0B73" w:rsidRPr="00A00299">
        <w:rPr>
          <w:rFonts w:ascii="Palatino Linotype" w:hAnsi="Palatino Linotype"/>
        </w:rPr>
        <w:t xml:space="preserve"> resilient </w:t>
      </w:r>
      <w:r w:rsidR="00CE1552" w:rsidRPr="00A00299">
        <w:rPr>
          <w:rFonts w:ascii="Palatino Linotype" w:hAnsi="Palatino Linotype"/>
        </w:rPr>
        <w:t xml:space="preserve">beliefs that fail to </w:t>
      </w:r>
      <w:r w:rsidR="00CC0B73" w:rsidRPr="00A00299">
        <w:rPr>
          <w:rFonts w:ascii="Palatino Linotype" w:hAnsi="Palatino Linotype"/>
        </w:rPr>
        <w:t xml:space="preserve">respond to evidence, or that do not connect </w:t>
      </w:r>
      <w:r w:rsidR="00CC0B73" w:rsidRPr="00A00299">
        <w:rPr>
          <w:rFonts w:ascii="Palatino Linotype" w:hAnsi="Palatino Linotype"/>
        </w:rPr>
        <w:lastRenderedPageBreak/>
        <w:t>to action in the way we would expect them to</w:t>
      </w:r>
      <w:r w:rsidR="00EA42E6" w:rsidRPr="00A00299">
        <w:rPr>
          <w:rFonts w:ascii="Palatino Linotype" w:hAnsi="Palatino Linotype"/>
        </w:rPr>
        <w:t>.</w:t>
      </w:r>
      <w:r w:rsidR="0048128E" w:rsidRPr="00A00299">
        <w:rPr>
          <w:rFonts w:ascii="Palatino Linotype" w:hAnsi="Palatino Linotype"/>
        </w:rPr>
        <w:t xml:space="preserve"> Consider the following: Anna, who suffers from </w:t>
      </w:r>
      <w:proofErr w:type="spellStart"/>
      <w:r w:rsidR="0048128E" w:rsidRPr="00A00299">
        <w:rPr>
          <w:rFonts w:ascii="Palatino Linotype" w:hAnsi="Palatino Linotype"/>
        </w:rPr>
        <w:t>Capras</w:t>
      </w:r>
      <w:proofErr w:type="spellEnd"/>
      <w:r w:rsidR="0048128E" w:rsidRPr="00A00299">
        <w:rPr>
          <w:rFonts w:ascii="Palatino Linotype" w:hAnsi="Palatino Linotype"/>
        </w:rPr>
        <w:t xml:space="preserve"> syndrome, believes her husband is an impostor even though she has no evidence for it and much against it. Balthasar believes the glass skywalk is safe and yet trembles as he tries to walk on it.  </w:t>
      </w:r>
      <w:r w:rsidR="00B71A5B" w:rsidRPr="00A00299">
        <w:rPr>
          <w:rFonts w:ascii="Palatino Linotype" w:hAnsi="Palatino Linotype"/>
        </w:rPr>
        <w:t>Chakrapani</w:t>
      </w:r>
      <w:r w:rsidR="0048128E" w:rsidRPr="00A00299">
        <w:rPr>
          <w:rFonts w:ascii="Palatino Linotype" w:hAnsi="Palatino Linotype"/>
        </w:rPr>
        <w:t xml:space="preserve"> believes that </w:t>
      </w:r>
      <w:r w:rsidR="00B120DC" w:rsidRPr="00A00299">
        <w:rPr>
          <w:rFonts w:ascii="Palatino Linotype" w:hAnsi="Palatino Linotype"/>
        </w:rPr>
        <w:t xml:space="preserve">their </w:t>
      </w:r>
      <w:r w:rsidR="0048128E" w:rsidRPr="00A00299">
        <w:rPr>
          <w:rFonts w:ascii="Palatino Linotype" w:hAnsi="Palatino Linotype"/>
        </w:rPr>
        <w:t>lover will keep their promise to not betray them again even though past evidence indicates that they will, and David believes that the God as described in the Bible exists, though he is aware of the evidence suggesting that such a God does not exist and claims his reasons for believing are not based in evidence.</w:t>
      </w:r>
      <w:r w:rsidR="00407862" w:rsidRPr="00A00299">
        <w:rPr>
          <w:rFonts w:ascii="Palatino Linotype" w:hAnsi="Palatino Linotype"/>
        </w:rPr>
        <w:t xml:space="preserve"> </w:t>
      </w:r>
    </w:p>
    <w:p w14:paraId="37D15ECE" w14:textId="5B27B543" w:rsidR="009F298E" w:rsidRPr="00A00299" w:rsidRDefault="0048128E" w:rsidP="00481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
        <w:rPr>
          <w:rFonts w:ascii="Palatino Linotype" w:hAnsi="Palatino Linotype"/>
        </w:rPr>
      </w:pPr>
      <w:r w:rsidRPr="00A00299">
        <w:rPr>
          <w:rFonts w:ascii="Palatino Linotype" w:hAnsi="Palatino Linotype"/>
        </w:rPr>
        <w:tab/>
      </w:r>
      <w:r w:rsidR="00655EBB" w:rsidRPr="00A00299">
        <w:rPr>
          <w:rFonts w:ascii="Palatino Linotype" w:hAnsi="Palatino Linotype"/>
        </w:rPr>
        <w:t xml:space="preserve">In all these cases, the subjects have beliefs that either 1) are misaligned with their actions or 2) recognize the evidence does not support their beliefs. </w:t>
      </w:r>
      <w:r w:rsidR="00CC0B73" w:rsidRPr="00A00299">
        <w:rPr>
          <w:rFonts w:ascii="Palatino Linotype" w:hAnsi="Palatino Linotype"/>
        </w:rPr>
        <w:t>Two responses are common in the face of such examples, which are often tied together.</w:t>
      </w:r>
      <w:r w:rsidR="00011E41" w:rsidRPr="00A00299">
        <w:rPr>
          <w:rFonts w:ascii="Palatino Linotype" w:hAnsi="Palatino Linotype"/>
        </w:rPr>
        <w:t xml:space="preserve"> </w:t>
      </w:r>
      <w:r w:rsidR="00CC0B73" w:rsidRPr="00A00299">
        <w:rPr>
          <w:rFonts w:ascii="Palatino Linotype" w:hAnsi="Palatino Linotype"/>
        </w:rPr>
        <w:t xml:space="preserve">The first is to deny that these states which we </w:t>
      </w:r>
      <w:r w:rsidR="00FF7CB7" w:rsidRPr="00A00299">
        <w:rPr>
          <w:rFonts w:ascii="Palatino Linotype" w:hAnsi="Palatino Linotype"/>
        </w:rPr>
        <w:t>pre-reflectively</w:t>
      </w:r>
      <w:r w:rsidR="00CC0B73" w:rsidRPr="00A00299">
        <w:rPr>
          <w:rFonts w:ascii="Palatino Linotype" w:hAnsi="Palatino Linotype"/>
        </w:rPr>
        <w:t xml:space="preserve"> call “beliefs” really are beliefs, that is to put restriction</w:t>
      </w:r>
      <w:r w:rsidR="000F7C7F" w:rsidRPr="00A00299">
        <w:rPr>
          <w:rFonts w:ascii="Palatino Linotype" w:hAnsi="Palatino Linotype"/>
        </w:rPr>
        <w:t>s</w:t>
      </w:r>
      <w:r w:rsidR="00CC0B73" w:rsidRPr="00A00299">
        <w:rPr>
          <w:rFonts w:ascii="Palatino Linotype" w:hAnsi="Palatino Linotype"/>
        </w:rPr>
        <w:t xml:space="preserve"> on what counts as a belief so that these are no longer counter examples. The second is to introduce </w:t>
      </w:r>
      <w:r w:rsidR="00C239DB" w:rsidRPr="00A00299">
        <w:rPr>
          <w:rFonts w:ascii="Palatino Linotype" w:hAnsi="Palatino Linotype"/>
        </w:rPr>
        <w:t xml:space="preserve">unfamiliar </w:t>
      </w:r>
      <w:r w:rsidR="00CC0B73" w:rsidRPr="00A00299">
        <w:rPr>
          <w:rFonts w:ascii="Palatino Linotype" w:hAnsi="Palatino Linotype"/>
        </w:rPr>
        <w:t xml:space="preserve">mental states to account for what is going on in these cases where it appears that one has a belief, but the belief is not behaving according to what the </w:t>
      </w:r>
      <w:r w:rsidR="00655EBB" w:rsidRPr="00A00299">
        <w:rPr>
          <w:rFonts w:ascii="Palatino Linotype" w:hAnsi="Palatino Linotype"/>
        </w:rPr>
        <w:t>cognitivist</w:t>
      </w:r>
      <w:r w:rsidR="00CC0B73" w:rsidRPr="00A00299">
        <w:rPr>
          <w:rFonts w:ascii="Palatino Linotype" w:hAnsi="Palatino Linotype"/>
        </w:rPr>
        <w:t xml:space="preserve"> account allows.</w:t>
      </w:r>
      <w:r w:rsidR="000F7C7F" w:rsidRPr="00A00299">
        <w:rPr>
          <w:rStyle w:val="FootnoteReference"/>
          <w:rFonts w:ascii="Palatino Linotype" w:hAnsi="Palatino Linotype"/>
        </w:rPr>
        <w:footnoteReference w:id="6"/>
      </w:r>
    </w:p>
    <w:p w14:paraId="0D9A0F45" w14:textId="0D4BCFE1" w:rsidR="0048128E" w:rsidRPr="00A00299" w:rsidRDefault="00AA7A4E" w:rsidP="0048128E">
      <w:pPr>
        <w:spacing w:line="480" w:lineRule="auto"/>
        <w:ind w:firstLine="730"/>
        <w:rPr>
          <w:rFonts w:ascii="Palatino Linotype" w:eastAsia="Times New Roman" w:hAnsi="Palatino Linotype" w:cs="Times New Roman"/>
          <w:color w:val="000000"/>
          <w:shd w:val="clear" w:color="auto" w:fill="FFFFFF"/>
          <w:lang w:eastAsia="en-US"/>
        </w:rPr>
      </w:pPr>
      <w:r w:rsidRPr="00A00299">
        <w:rPr>
          <w:rFonts w:ascii="Palatino Linotype" w:hAnsi="Palatino Linotype"/>
        </w:rPr>
        <w:lastRenderedPageBreak/>
        <w:t>I will offer a view of belief that does not</w:t>
      </w:r>
      <w:r w:rsidR="000F7C7F" w:rsidRPr="00A00299">
        <w:rPr>
          <w:rFonts w:ascii="Palatino Linotype" w:hAnsi="Palatino Linotype"/>
        </w:rPr>
        <w:t xml:space="preserve"> force us to exclude states</w:t>
      </w:r>
      <w:r w:rsidRPr="00A00299">
        <w:rPr>
          <w:rFonts w:ascii="Palatino Linotype" w:hAnsi="Palatino Linotype"/>
        </w:rPr>
        <w:t xml:space="preserve"> as </w:t>
      </w:r>
      <w:r w:rsidRPr="00A00299">
        <w:rPr>
          <w:rFonts w:ascii="Palatino Linotype" w:hAnsi="Palatino Linotype"/>
          <w:i/>
        </w:rPr>
        <w:t xml:space="preserve">real </w:t>
      </w:r>
      <w:r w:rsidRPr="00A00299">
        <w:rPr>
          <w:rFonts w:ascii="Palatino Linotype" w:hAnsi="Palatino Linotype"/>
        </w:rPr>
        <w:t>beliefs that we pre-reflectively think of as belief</w:t>
      </w:r>
      <w:r w:rsidR="00011E41" w:rsidRPr="00A00299">
        <w:rPr>
          <w:rFonts w:ascii="Palatino Linotype" w:hAnsi="Palatino Linotype"/>
        </w:rPr>
        <w:t>s</w:t>
      </w:r>
      <w:r w:rsidRPr="00A00299">
        <w:rPr>
          <w:rFonts w:ascii="Palatino Linotype" w:hAnsi="Palatino Linotype"/>
        </w:rPr>
        <w:t xml:space="preserve">, and that does not require us to “outsource” </w:t>
      </w:r>
      <w:r w:rsidR="000F7C7F" w:rsidRPr="00A00299">
        <w:rPr>
          <w:rFonts w:ascii="Palatino Linotype" w:hAnsi="Palatino Linotype"/>
        </w:rPr>
        <w:t xml:space="preserve">the </w:t>
      </w:r>
      <w:r w:rsidRPr="00A00299">
        <w:rPr>
          <w:rFonts w:ascii="Palatino Linotype" w:hAnsi="Palatino Linotype"/>
        </w:rPr>
        <w:t xml:space="preserve">work belief </w:t>
      </w:r>
      <w:r w:rsidR="00FD25CE" w:rsidRPr="00A00299">
        <w:rPr>
          <w:rFonts w:ascii="Palatino Linotype" w:hAnsi="Palatino Linotype"/>
        </w:rPr>
        <w:t xml:space="preserve">seems to do to </w:t>
      </w:r>
      <w:r w:rsidRPr="00A00299">
        <w:rPr>
          <w:rFonts w:ascii="Palatino Linotype" w:hAnsi="Palatino Linotype"/>
        </w:rPr>
        <w:t xml:space="preserve">other mental states. </w:t>
      </w:r>
      <w:r w:rsidR="003B079E" w:rsidRPr="00A00299">
        <w:rPr>
          <w:rFonts w:ascii="Palatino Linotype" w:hAnsi="Palatino Linotype"/>
        </w:rPr>
        <w:t xml:space="preserve">Rather than </w:t>
      </w:r>
      <w:r w:rsidR="009B21E2" w:rsidRPr="00A00299">
        <w:rPr>
          <w:rFonts w:ascii="Palatino Linotype" w:hAnsi="Palatino Linotype"/>
        </w:rPr>
        <w:t>assume that belief is a purely</w:t>
      </w:r>
      <w:r w:rsidR="00683437" w:rsidRPr="00A00299">
        <w:rPr>
          <w:rFonts w:ascii="Palatino Linotype" w:hAnsi="Palatino Linotype"/>
        </w:rPr>
        <w:t xml:space="preserve"> cognitive state</w:t>
      </w:r>
      <w:r w:rsidR="003B079E" w:rsidRPr="00A00299">
        <w:rPr>
          <w:rFonts w:ascii="Palatino Linotype" w:hAnsi="Palatino Linotype"/>
        </w:rPr>
        <w:t xml:space="preserve">, I propose that we view belief </w:t>
      </w:r>
      <w:r w:rsidR="00A70AD7" w:rsidRPr="00A00299">
        <w:rPr>
          <w:rFonts w:ascii="Palatino Linotype" w:hAnsi="Palatino Linotype"/>
        </w:rPr>
        <w:t xml:space="preserve">as </w:t>
      </w:r>
      <w:r w:rsidR="00E344D8" w:rsidRPr="00A00299">
        <w:rPr>
          <w:rFonts w:ascii="Palatino Linotype" w:hAnsi="Palatino Linotype"/>
        </w:rPr>
        <w:t>a type of emotion where emotions are understood as including cognitive and non-cognitive elements.</w:t>
      </w:r>
      <w:r w:rsidR="00A17DBB" w:rsidRPr="00A00299">
        <w:rPr>
          <w:rFonts w:ascii="Palatino Linotype" w:hAnsi="Palatino Linotype"/>
        </w:rPr>
        <w:t xml:space="preserve"> I see my view as </w:t>
      </w:r>
      <w:r w:rsidR="00A17DBB" w:rsidRPr="00A00299">
        <w:rPr>
          <w:rFonts w:ascii="Palatino Linotype" w:hAnsi="Palatino Linotype" w:cs="Times New Roman"/>
        </w:rPr>
        <w:t xml:space="preserve">building on Hume’s insight that </w:t>
      </w:r>
      <w:r w:rsidR="00A17DBB" w:rsidRPr="00A00299">
        <w:rPr>
          <w:rFonts w:ascii="Palatino Linotype" w:eastAsia="Times New Roman" w:hAnsi="Palatino Linotype" w:cs="Times New Roman"/>
          <w:i/>
          <w:iCs/>
          <w:color w:val="000000"/>
          <w:shd w:val="clear" w:color="auto" w:fill="FFFFFF"/>
          <w:lang w:eastAsia="en-US"/>
        </w:rPr>
        <w:t>“belief is more properly an act of the sensitive, than of the cogitative part of our natures</w:t>
      </w:r>
      <w:r w:rsidR="00A17DBB" w:rsidRPr="00A00299">
        <w:rPr>
          <w:rFonts w:ascii="Palatino Linotype" w:eastAsia="Times New Roman" w:hAnsi="Palatino Linotype" w:cs="Times New Roman"/>
          <w:color w:val="000000"/>
          <w:shd w:val="clear" w:color="auto" w:fill="FFFFFF"/>
          <w:lang w:eastAsia="en-US"/>
        </w:rPr>
        <w:t>” (</w:t>
      </w:r>
      <w:r w:rsidR="00A17DBB" w:rsidRPr="00A00299">
        <w:rPr>
          <w:rFonts w:ascii="Palatino Linotype" w:eastAsia="Times New Roman" w:hAnsi="Palatino Linotype" w:cs="Times New Roman"/>
          <w:i/>
          <w:color w:val="000000"/>
          <w:shd w:val="clear" w:color="auto" w:fill="FFFFFF"/>
          <w:lang w:eastAsia="en-US"/>
        </w:rPr>
        <w:t xml:space="preserve">Treatise </w:t>
      </w:r>
      <w:r w:rsidR="00A17DBB" w:rsidRPr="00A00299">
        <w:rPr>
          <w:rFonts w:ascii="Palatino Linotype" w:eastAsia="Times New Roman" w:hAnsi="Palatino Linotype" w:cs="Times New Roman"/>
          <w:color w:val="000000"/>
          <w:shd w:val="clear" w:color="auto" w:fill="FFFFFF"/>
          <w:lang w:eastAsia="en-US"/>
        </w:rPr>
        <w:t>1.4.1, 2000)</w:t>
      </w:r>
      <w:r w:rsidR="00CA29FD" w:rsidRPr="00A00299">
        <w:rPr>
          <w:rFonts w:ascii="Palatino Linotype" w:eastAsia="Times New Roman" w:hAnsi="Palatino Linotype" w:cs="Times New Roman"/>
          <w:color w:val="000000"/>
          <w:shd w:val="clear" w:color="auto" w:fill="FFFFFF"/>
          <w:lang w:eastAsia="en-US"/>
        </w:rPr>
        <w:t>.</w:t>
      </w:r>
      <w:r w:rsidR="0048128E" w:rsidRPr="00A00299">
        <w:rPr>
          <w:rFonts w:ascii="Palatino Linotype" w:eastAsia="Times New Roman" w:hAnsi="Palatino Linotype" w:cs="Times New Roman"/>
          <w:color w:val="000000"/>
          <w:shd w:val="clear" w:color="auto" w:fill="FFFFFF"/>
          <w:lang w:eastAsia="en-US"/>
        </w:rPr>
        <w:t xml:space="preserve"> I will begin with a brief discussion of the kind of model of emotion which can accommodate beliefs as emotions (§ 1). I will then show how thinking of beliefs as emotions can allow us maintain that these problematic cases are beliefs, and further argue that</w:t>
      </w:r>
      <w:r w:rsidR="0048128E" w:rsidRPr="00A00299">
        <w:rPr>
          <w:rFonts w:ascii="Palatino Linotype" w:hAnsi="Palatino Linotype"/>
        </w:rPr>
        <w:t xml:space="preserve"> the cost of excluding them from the category of belief is high</w:t>
      </w:r>
      <w:r w:rsidR="00ED263E">
        <w:rPr>
          <w:rFonts w:ascii="Palatino Linotype" w:hAnsi="Palatino Linotype"/>
        </w:rPr>
        <w:t>.</w:t>
      </w:r>
      <w:r w:rsidR="0048128E" w:rsidRPr="00A00299">
        <w:rPr>
          <w:rFonts w:ascii="Palatino Linotype" w:hAnsi="Palatino Linotype"/>
        </w:rPr>
        <w:t xml:space="preserve"> </w:t>
      </w:r>
      <w:r w:rsidR="00ED263E">
        <w:rPr>
          <w:rFonts w:ascii="Palatino Linotype" w:hAnsi="Palatino Linotype"/>
        </w:rPr>
        <w:t>I</w:t>
      </w:r>
      <w:r w:rsidR="0048128E" w:rsidRPr="00A00299">
        <w:rPr>
          <w:rFonts w:ascii="Palatino Linotype" w:hAnsi="Palatino Linotype"/>
        </w:rPr>
        <w:t>t is very difficult to find principled reasons to exclude them while not excluding all beliefs that are not paradigmatically rational</w:t>
      </w:r>
      <w:r w:rsidR="00ED263E">
        <w:rPr>
          <w:rFonts w:ascii="Palatino Linotype" w:hAnsi="Palatino Linotype"/>
        </w:rPr>
        <w:t xml:space="preserve">, but, thinking of </w:t>
      </w:r>
      <w:r w:rsidR="00ED263E">
        <w:rPr>
          <w:rFonts w:ascii="Palatino Linotype" w:hAnsi="Palatino Linotype"/>
        </w:rPr>
        <w:lastRenderedPageBreak/>
        <w:t>beliefs as emotions allows us to distinguish between irrational beliefs which deviate from the cognitivist model from those which are not</w:t>
      </w:r>
      <w:r w:rsidR="0048128E" w:rsidRPr="00A00299">
        <w:rPr>
          <w:rFonts w:ascii="Palatino Linotype" w:hAnsi="Palatino Linotype"/>
        </w:rPr>
        <w:t xml:space="preserve"> (</w:t>
      </w:r>
      <w:r w:rsidR="0048128E" w:rsidRPr="00A00299">
        <w:rPr>
          <w:rFonts w:ascii="Palatino Linotype" w:eastAsia="Times New Roman" w:hAnsi="Palatino Linotype" w:cs="Times New Roman"/>
          <w:color w:val="000000"/>
          <w:shd w:val="clear" w:color="auto" w:fill="FFFFFF"/>
          <w:lang w:eastAsia="en-US"/>
        </w:rPr>
        <w:t xml:space="preserve">§ 2). </w:t>
      </w:r>
      <w:r w:rsidR="0048128E" w:rsidRPr="00A00299">
        <w:rPr>
          <w:rFonts w:ascii="Palatino Linotype" w:hAnsi="Palatino Linotype" w:cs="Times New Roman"/>
        </w:rPr>
        <w:t xml:space="preserve">This proposal will be met with a number of objections which I will </w:t>
      </w:r>
      <w:r w:rsidR="00D8542B" w:rsidRPr="00A00299">
        <w:rPr>
          <w:rFonts w:ascii="Palatino Linotype" w:hAnsi="Palatino Linotype" w:cs="Times New Roman"/>
        </w:rPr>
        <w:t xml:space="preserve">then </w:t>
      </w:r>
      <w:r w:rsidR="0048128E" w:rsidRPr="00A00299">
        <w:rPr>
          <w:rFonts w:ascii="Palatino Linotype" w:hAnsi="Palatino Linotype" w:cs="Times New Roman"/>
        </w:rPr>
        <w:t xml:space="preserve">address </w:t>
      </w:r>
      <w:r w:rsidR="00C363D5" w:rsidRPr="00A00299">
        <w:rPr>
          <w:rFonts w:ascii="Palatino Linotype" w:hAnsi="Palatino Linotype" w:cs="Times New Roman"/>
        </w:rPr>
        <w:t>(</w:t>
      </w:r>
      <w:r w:rsidR="00D8542B" w:rsidRPr="00A00299">
        <w:rPr>
          <w:rFonts w:ascii="Palatino Linotype" w:eastAsia="Times New Roman" w:hAnsi="Palatino Linotype" w:cs="Times New Roman"/>
          <w:color w:val="000000"/>
          <w:shd w:val="clear" w:color="auto" w:fill="FFFFFF"/>
          <w:lang w:eastAsia="en-US"/>
        </w:rPr>
        <w:t>§ 3</w:t>
      </w:r>
      <w:r w:rsidR="0048128E" w:rsidRPr="00A00299">
        <w:rPr>
          <w:rFonts w:ascii="Palatino Linotype" w:hAnsi="Palatino Linotype" w:cs="Times New Roman"/>
        </w:rPr>
        <w:t>)</w:t>
      </w:r>
      <w:r w:rsidR="0048128E" w:rsidRPr="00A00299">
        <w:rPr>
          <w:rFonts w:ascii="Palatino Linotype" w:hAnsi="Palatino Linotype"/>
        </w:rPr>
        <w:t xml:space="preserve">. I will conclude by </w:t>
      </w:r>
      <w:r w:rsidR="003A3D17" w:rsidRPr="00A00299">
        <w:rPr>
          <w:rFonts w:ascii="Palatino Linotype" w:hAnsi="Palatino Linotype"/>
        </w:rPr>
        <w:t xml:space="preserve">considering how this view </w:t>
      </w:r>
      <w:r w:rsidR="0048128E" w:rsidRPr="00A00299">
        <w:rPr>
          <w:rFonts w:ascii="Palatino Linotype" w:hAnsi="Palatino Linotype"/>
        </w:rPr>
        <w:t>can also offer insight into the phenomena of persistent disagreement and self-deception (</w:t>
      </w:r>
      <w:r w:rsidR="0048128E" w:rsidRPr="00A00299">
        <w:rPr>
          <w:rFonts w:ascii="Palatino Linotype" w:eastAsia="Times New Roman" w:hAnsi="Palatino Linotype" w:cs="Times New Roman"/>
          <w:color w:val="000000"/>
          <w:shd w:val="clear" w:color="auto" w:fill="FFFFFF"/>
          <w:lang w:eastAsia="en-US"/>
        </w:rPr>
        <w:t xml:space="preserve">§ </w:t>
      </w:r>
      <w:r w:rsidR="00D8542B" w:rsidRPr="00A00299">
        <w:rPr>
          <w:rFonts w:ascii="Palatino Linotype" w:eastAsia="Times New Roman" w:hAnsi="Palatino Linotype" w:cs="Times New Roman"/>
          <w:color w:val="000000"/>
          <w:shd w:val="clear" w:color="auto" w:fill="FFFFFF"/>
          <w:lang w:eastAsia="en-US"/>
        </w:rPr>
        <w:t>4</w:t>
      </w:r>
      <w:r w:rsidR="0048128E" w:rsidRPr="00A00299">
        <w:rPr>
          <w:rFonts w:ascii="Palatino Linotype" w:eastAsia="Times New Roman" w:hAnsi="Palatino Linotype" w:cs="Times New Roman"/>
          <w:color w:val="000000"/>
          <w:shd w:val="clear" w:color="auto" w:fill="FFFFFF"/>
          <w:lang w:eastAsia="en-US"/>
        </w:rPr>
        <w:t>).</w:t>
      </w:r>
    </w:p>
    <w:p w14:paraId="7A114741" w14:textId="77777777" w:rsidR="003A3D17" w:rsidRPr="00A00299" w:rsidRDefault="00FA5EBC" w:rsidP="0048128E">
      <w:pPr>
        <w:pStyle w:val="ListParagraph"/>
        <w:numPr>
          <w:ilvl w:val="0"/>
          <w:numId w:val="9"/>
        </w:numPr>
        <w:spacing w:line="480" w:lineRule="auto"/>
        <w:rPr>
          <w:rFonts w:ascii="Palatino Linotype" w:eastAsia="Times New Roman" w:hAnsi="Palatino Linotype" w:cs="Times New Roman"/>
          <w:b/>
          <w:bCs/>
          <w:color w:val="000000"/>
          <w:shd w:val="clear" w:color="auto" w:fill="FFFFFF"/>
          <w:lang w:eastAsia="en-US"/>
        </w:rPr>
      </w:pPr>
      <w:r w:rsidRPr="00A00299">
        <w:rPr>
          <w:rFonts w:ascii="Palatino Linotype" w:eastAsia="Times New Roman" w:hAnsi="Palatino Linotype" w:cs="Times New Roman"/>
          <w:b/>
          <w:bCs/>
          <w:color w:val="000000"/>
          <w:shd w:val="clear" w:color="auto" w:fill="FFFFFF"/>
          <w:lang w:eastAsia="en-US"/>
        </w:rPr>
        <w:t>Belief as a blended state.</w:t>
      </w:r>
    </w:p>
    <w:p w14:paraId="6EDB8F71" w14:textId="072B627D" w:rsidR="0048128E" w:rsidRPr="00A00299" w:rsidRDefault="0048128E" w:rsidP="003A3D17">
      <w:pPr>
        <w:spacing w:line="480" w:lineRule="auto"/>
        <w:ind w:firstLine="720"/>
        <w:rPr>
          <w:rFonts w:ascii="Palatino Linotype" w:eastAsia="Times New Roman" w:hAnsi="Palatino Linotype" w:cs="Times New Roman"/>
          <w:b/>
          <w:bCs/>
          <w:color w:val="000000"/>
          <w:shd w:val="clear" w:color="auto" w:fill="FFFFFF"/>
          <w:lang w:eastAsia="en-US"/>
        </w:rPr>
      </w:pPr>
      <w:r w:rsidRPr="00A00299">
        <w:rPr>
          <w:rFonts w:ascii="Palatino Linotype" w:hAnsi="Palatino Linotype"/>
        </w:rPr>
        <w:t>While</w:t>
      </w:r>
      <w:r w:rsidR="00FA5EBC" w:rsidRPr="00A00299">
        <w:rPr>
          <w:rFonts w:ascii="Palatino Linotype" w:hAnsi="Palatino Linotype"/>
        </w:rPr>
        <w:t xml:space="preserve"> contemporary</w:t>
      </w:r>
      <w:r w:rsidRPr="00A00299">
        <w:rPr>
          <w:rFonts w:ascii="Palatino Linotype" w:hAnsi="Palatino Linotype"/>
        </w:rPr>
        <w:t xml:space="preserve"> theori</w:t>
      </w:r>
      <w:r w:rsidR="00FA5EBC" w:rsidRPr="00A00299">
        <w:rPr>
          <w:rFonts w:ascii="Palatino Linotype" w:hAnsi="Palatino Linotype"/>
        </w:rPr>
        <w:t>sts of emotion differ in their characterizations, a vast majority</w:t>
      </w:r>
      <w:r w:rsidR="00EA42E6" w:rsidRPr="00A00299">
        <w:rPr>
          <w:rFonts w:ascii="Palatino Linotype" w:hAnsi="Palatino Linotype"/>
        </w:rPr>
        <w:t xml:space="preserve"> </w:t>
      </w:r>
      <w:r w:rsidRPr="00A00299">
        <w:rPr>
          <w:rFonts w:ascii="Palatino Linotype" w:hAnsi="Palatino Linotype"/>
        </w:rPr>
        <w:t xml:space="preserve">reject both purely “cognitive” theories which equate emotions with evaluative judgments, as well as “feeling-theories,” which equate emotions with non-cognitive (often automatic) reactions to the environment, much like passive sensations. </w:t>
      </w:r>
      <w:r w:rsidR="00FA5EBC" w:rsidRPr="00A00299">
        <w:rPr>
          <w:rFonts w:ascii="Palatino Linotype" w:hAnsi="Palatino Linotype"/>
        </w:rPr>
        <w:t xml:space="preserve"> This includes both those theories labeled “neo” or “quasi” </w:t>
      </w:r>
      <w:proofErr w:type="spellStart"/>
      <w:r w:rsidR="00FA5EBC" w:rsidRPr="00A00299">
        <w:rPr>
          <w:rFonts w:ascii="Palatino Linotype" w:hAnsi="Palatino Linotype"/>
        </w:rPr>
        <w:t>judgmentalist</w:t>
      </w:r>
      <w:proofErr w:type="spellEnd"/>
      <w:r w:rsidR="00FA5EBC" w:rsidRPr="00A00299">
        <w:rPr>
          <w:rFonts w:ascii="Palatino Linotype" w:hAnsi="Palatino Linotype"/>
        </w:rPr>
        <w:t xml:space="preserve"> as well as </w:t>
      </w:r>
      <w:r w:rsidR="00E1371D">
        <w:rPr>
          <w:rFonts w:ascii="Palatino Linotype" w:hAnsi="Palatino Linotype"/>
        </w:rPr>
        <w:t xml:space="preserve">some </w:t>
      </w:r>
      <w:r w:rsidR="00FA5EBC" w:rsidRPr="00A00299">
        <w:rPr>
          <w:rFonts w:ascii="Palatino Linotype" w:hAnsi="Palatino Linotype"/>
        </w:rPr>
        <w:t xml:space="preserve">perceptual </w:t>
      </w:r>
      <w:r w:rsidR="003A3D17" w:rsidRPr="00A00299">
        <w:rPr>
          <w:rFonts w:ascii="Palatino Linotype" w:hAnsi="Palatino Linotype"/>
        </w:rPr>
        <w:t>theories</w:t>
      </w:r>
      <w:r w:rsidR="00FA5EBC" w:rsidRPr="00A00299">
        <w:rPr>
          <w:rFonts w:ascii="Palatino Linotype" w:hAnsi="Palatino Linotype"/>
        </w:rPr>
        <w:t xml:space="preserve">. </w:t>
      </w:r>
      <w:r w:rsidRPr="00A00299">
        <w:rPr>
          <w:rFonts w:ascii="Palatino Linotype" w:hAnsi="Palatino Linotype"/>
        </w:rPr>
        <w:t xml:space="preserve"> </w:t>
      </w:r>
      <w:r w:rsidR="00FA5EBC" w:rsidRPr="00A00299">
        <w:rPr>
          <w:rFonts w:ascii="Palatino Linotype" w:hAnsi="Palatino Linotype"/>
        </w:rPr>
        <w:t>A number of t</w:t>
      </w:r>
      <w:r w:rsidRPr="00A00299">
        <w:rPr>
          <w:rFonts w:ascii="Palatino Linotype" w:hAnsi="Palatino Linotype"/>
        </w:rPr>
        <w:t xml:space="preserve">hese theories view emotions as essentially blended states, as involving both emotional feelings as well as evaluative judgments (or </w:t>
      </w:r>
      <w:proofErr w:type="spellStart"/>
      <w:r w:rsidR="00E5362F">
        <w:rPr>
          <w:rFonts w:ascii="Palatino Linotype" w:hAnsi="Palatino Linotype"/>
        </w:rPr>
        <w:t>construals</w:t>
      </w:r>
      <w:proofErr w:type="spellEnd"/>
      <w:r w:rsidR="00E5362F">
        <w:rPr>
          <w:rFonts w:ascii="Palatino Linotype" w:hAnsi="Palatino Linotype"/>
        </w:rPr>
        <w:t xml:space="preserve"> or appraisals</w:t>
      </w:r>
      <w:r w:rsidRPr="00A00299">
        <w:rPr>
          <w:rFonts w:ascii="Palatino Linotype" w:hAnsi="Palatino Linotype"/>
        </w:rPr>
        <w:t>).</w:t>
      </w:r>
      <w:r w:rsidRPr="00A00299">
        <w:rPr>
          <w:rStyle w:val="FootnoteReference"/>
          <w:rFonts w:ascii="Palatino Linotype" w:hAnsi="Palatino Linotype"/>
        </w:rPr>
        <w:footnoteReference w:id="7"/>
      </w:r>
      <w:r w:rsidRPr="00A00299">
        <w:rPr>
          <w:rFonts w:ascii="Palatino Linotype" w:hAnsi="Palatino Linotype"/>
        </w:rPr>
        <w:t xml:space="preserve"> This is not to say that emotions are a combination of a mental states; fear, for example, cannot be reduced to the belief that I am in danger, the desire to flee, and some flutters in </w:t>
      </w:r>
      <w:r w:rsidRPr="00A00299">
        <w:rPr>
          <w:rFonts w:ascii="Palatino Linotype" w:hAnsi="Palatino Linotype"/>
        </w:rPr>
        <w:lastRenderedPageBreak/>
        <w:t>my stomach and sweat on my brow; one can experience such a combination and not feel fear.</w:t>
      </w:r>
      <w:r w:rsidRPr="00A00299">
        <w:rPr>
          <w:rStyle w:val="FootnoteReference"/>
          <w:rFonts w:ascii="Palatino Linotype" w:hAnsi="Palatino Linotype"/>
        </w:rPr>
        <w:footnoteReference w:id="8"/>
      </w:r>
      <w:r w:rsidRPr="00A00299">
        <w:rPr>
          <w:rFonts w:ascii="Palatino Linotype" w:hAnsi="Palatino Linotype"/>
        </w:rPr>
        <w:t xml:space="preserve"> </w:t>
      </w:r>
    </w:p>
    <w:p w14:paraId="781ACA33" w14:textId="3131E174" w:rsidR="0048128E" w:rsidRPr="00A00299" w:rsidRDefault="0048128E" w:rsidP="0048128E">
      <w:pPr>
        <w:spacing w:line="480" w:lineRule="auto"/>
        <w:ind w:left="-90" w:firstLine="810"/>
        <w:rPr>
          <w:rFonts w:ascii="Palatino Linotype" w:hAnsi="Palatino Linotype"/>
        </w:rPr>
      </w:pPr>
      <w:r w:rsidRPr="00A00299">
        <w:rPr>
          <w:rFonts w:ascii="Palatino Linotype" w:hAnsi="Palatino Linotype"/>
        </w:rPr>
        <w:t xml:space="preserve">One of the main obstacles for pure </w:t>
      </w:r>
      <w:proofErr w:type="spellStart"/>
      <w:r w:rsidRPr="00A00299">
        <w:rPr>
          <w:rFonts w:ascii="Palatino Linotype" w:hAnsi="Palatino Linotype"/>
        </w:rPr>
        <w:t>judgmentalist</w:t>
      </w:r>
      <w:proofErr w:type="spellEnd"/>
      <w:r w:rsidRPr="00A00299">
        <w:rPr>
          <w:rFonts w:ascii="Palatino Linotype" w:hAnsi="Palatino Linotype"/>
        </w:rPr>
        <w:t xml:space="preserve"> (cognitivist) views is they seem unable to explain recalcitrant emotions in a satisfying way. If I judge that spiders are not dangerous, but still feel fear when I see a spider, the cognitivist would claim that the kind of irrationality here is simply one of incoherence, having two contradictory beliefs: spiders are dangerous and spiders are not dangerous, given that my fear is an expression of the evaluative judgment that the environment is dangerous. As Michael Brady points out such a view “imputes too much irrationality to the subject of emotional recalcitrance” (2009, 414). An emotion conflicting with a reflective judgment is common and intelligible. What these theories get right, however, is that emotions can be assessed as rational or appropriate, and that some normative principle is being violated in the cases of recalcitrant emotions. This is very difficult to account for if they are seen as passive sensations, akin to having a headache. </w:t>
      </w:r>
    </w:p>
    <w:p w14:paraId="36CBF2F3" w14:textId="3BF61AF8" w:rsidR="0048128E" w:rsidRPr="00A00299" w:rsidRDefault="0048128E" w:rsidP="0048128E">
      <w:pPr>
        <w:spacing w:line="480" w:lineRule="auto"/>
        <w:ind w:left="-90" w:firstLine="810"/>
        <w:rPr>
          <w:rFonts w:ascii="Palatino Linotype" w:hAnsi="Palatino Linotype"/>
        </w:rPr>
      </w:pPr>
      <w:r w:rsidRPr="00A00299">
        <w:rPr>
          <w:rFonts w:ascii="Palatino Linotype" w:hAnsi="Palatino Linotype"/>
        </w:rPr>
        <w:lastRenderedPageBreak/>
        <w:t xml:space="preserve">Brady offers a hybrid theory of emotions which he thinks can better account for recalcitrant emotions, as well as explain how emotions can be of epistemic value. For Brady emotions include inclinations to assent to evaluative </w:t>
      </w:r>
      <w:proofErr w:type="spellStart"/>
      <w:r w:rsidRPr="00A00299">
        <w:rPr>
          <w:rFonts w:ascii="Palatino Linotype" w:hAnsi="Palatino Linotype"/>
        </w:rPr>
        <w:t>construals</w:t>
      </w:r>
      <w:proofErr w:type="spellEnd"/>
      <w:r w:rsidRPr="00A00299">
        <w:rPr>
          <w:rFonts w:ascii="Palatino Linotype" w:hAnsi="Palatino Linotype"/>
        </w:rPr>
        <w:t xml:space="preserve">, as well as emotional feelings which involve increased attention and sensitivity to the emotional object.  Let’s take fear as an example:  When I experience fear, the import of the situation is impressed upon me; </w:t>
      </w:r>
      <w:r w:rsidR="00F63108" w:rsidRPr="00A00299">
        <w:rPr>
          <w:rFonts w:ascii="Palatino Linotype" w:hAnsi="Palatino Linotype"/>
        </w:rPr>
        <w:t>I construe it as dangerous</w:t>
      </w:r>
      <w:r w:rsidRPr="00A00299">
        <w:rPr>
          <w:rFonts w:ascii="Palatino Linotype" w:hAnsi="Palatino Linotype"/>
        </w:rPr>
        <w:t>, and when I have such an experience I am “</w:t>
      </w:r>
      <w:r w:rsidRPr="00A00299">
        <w:rPr>
          <w:rFonts w:ascii="Palatino Linotype" w:hAnsi="Palatino Linotype"/>
          <w:i/>
        </w:rPr>
        <w:t>inclined</w:t>
      </w:r>
      <w:r w:rsidRPr="00A00299">
        <w:rPr>
          <w:rFonts w:ascii="Palatino Linotype" w:hAnsi="Palatino Linotype"/>
        </w:rPr>
        <w:t xml:space="preserve"> to assent or endorse this view of the situation.” When I am afraid, both motivational and cognitive resources are mobilized which incline me both behave in a certain way and to assent or accept that things are a certain way. But though the e</w:t>
      </w:r>
      <w:r w:rsidR="00E5362F">
        <w:rPr>
          <w:rFonts w:ascii="Palatino Linotype" w:hAnsi="Palatino Linotype"/>
        </w:rPr>
        <w:t>xperience</w:t>
      </w:r>
      <w:r w:rsidRPr="00A00299">
        <w:rPr>
          <w:rFonts w:ascii="Palatino Linotype" w:hAnsi="Palatino Linotype"/>
        </w:rPr>
        <w:t xml:space="preserve"> primes me for such assent, I need not give it. Recalcitrant emotions occur when one experiences priming, but does not give into the inclinations. Brady </w:t>
      </w:r>
      <w:r w:rsidR="00EA42E6" w:rsidRPr="00A00299">
        <w:rPr>
          <w:rFonts w:ascii="Palatino Linotype" w:hAnsi="Palatino Linotype"/>
        </w:rPr>
        <w:t>arg</w:t>
      </w:r>
      <w:r w:rsidR="00E5362F">
        <w:rPr>
          <w:rFonts w:ascii="Palatino Linotype" w:hAnsi="Palatino Linotype"/>
        </w:rPr>
        <w:t>ue</w:t>
      </w:r>
      <w:r w:rsidR="00EA42E6" w:rsidRPr="00A00299">
        <w:rPr>
          <w:rFonts w:ascii="Palatino Linotype" w:hAnsi="Palatino Linotype"/>
        </w:rPr>
        <w:t>s</w:t>
      </w:r>
      <w:r w:rsidRPr="00A00299">
        <w:rPr>
          <w:rFonts w:ascii="Palatino Linotype" w:hAnsi="Palatino Linotype"/>
        </w:rPr>
        <w:t xml:space="preserve"> that this explanation can explain their irrationality without attributing straight-out incoherence. It is irrational, he contends, to be inclined to assent to something one has determined is false, or when one has determined one has no good reason to be inclined to assent to it.  But such cases are understandable because usually the feeling itself constitutes a reason to be inclined to assent, and so such inclinations may be hard to eliminate.</w:t>
      </w:r>
      <w:r w:rsidRPr="00A00299">
        <w:rPr>
          <w:rStyle w:val="FootnoteReference"/>
          <w:rFonts w:ascii="Palatino Linotype" w:hAnsi="Palatino Linotype"/>
        </w:rPr>
        <w:footnoteReference w:id="9"/>
      </w:r>
    </w:p>
    <w:p w14:paraId="493427D2" w14:textId="13932FDF" w:rsidR="0048128E" w:rsidRPr="00A00299" w:rsidRDefault="0048128E" w:rsidP="0048128E">
      <w:pPr>
        <w:spacing w:line="480" w:lineRule="auto"/>
        <w:ind w:firstLine="720"/>
        <w:rPr>
          <w:rFonts w:ascii="Palatino Linotype" w:hAnsi="Palatino Linotype"/>
        </w:rPr>
      </w:pPr>
      <w:r w:rsidRPr="00A00299">
        <w:rPr>
          <w:rFonts w:ascii="Palatino Linotype" w:hAnsi="Palatino Linotype"/>
        </w:rPr>
        <w:lastRenderedPageBreak/>
        <w:t>How then would beliefs fit into this picture? When I believe (or experience belief to keep things parallel), it is impressed upon me that the world is a certain way, and this feeling puts a great deal of pressure on me to assent or endorse that the world is that way. Just as feeling fear includes a strong inclination to endorse the view that</w:t>
      </w:r>
      <w:r w:rsidRPr="00A00299">
        <w:rPr>
          <w:rFonts w:ascii="Palatino Linotype" w:hAnsi="Palatino Linotype"/>
          <w:i/>
        </w:rPr>
        <w:t xml:space="preserve"> p</w:t>
      </w:r>
      <w:r w:rsidRPr="00A00299">
        <w:rPr>
          <w:rFonts w:ascii="Palatino Linotype" w:hAnsi="Palatino Linotype"/>
        </w:rPr>
        <w:t xml:space="preserve"> is dangerous,</w:t>
      </w:r>
      <w:r w:rsidR="00E5362F">
        <w:rPr>
          <w:rFonts w:ascii="Palatino Linotype" w:hAnsi="Palatino Linotype"/>
        </w:rPr>
        <w:t xml:space="preserve"> the feeling of</w:t>
      </w:r>
      <w:r w:rsidRPr="00A00299">
        <w:rPr>
          <w:rFonts w:ascii="Palatino Linotype" w:hAnsi="Palatino Linotype"/>
        </w:rPr>
        <w:t xml:space="preserve"> belief includes a strong inclination to endorse the view that </w:t>
      </w:r>
      <w:r w:rsidRPr="00A00299">
        <w:rPr>
          <w:rFonts w:ascii="Palatino Linotype" w:hAnsi="Palatino Linotype"/>
          <w:i/>
        </w:rPr>
        <w:t xml:space="preserve">p </w:t>
      </w:r>
      <w:r w:rsidRPr="00A00299">
        <w:rPr>
          <w:rFonts w:ascii="Palatino Linotype" w:hAnsi="Palatino Linotype"/>
        </w:rPr>
        <w:t>is true. In both cases the feelings can sometimes be misleading or resisted. That I have the feelings associated with fear does not tell me that I have good reason to be afraid, but the feeling can motivate me to search for reasons which bear on the accuracy of the assessment that is embodied in the feeling, namely that the environment is dangerous. That I have the feelings associated with  belief does not, by itself, tell me I have good reason to believe as I am inclined to, but having that belief-feeling</w:t>
      </w:r>
      <w:r w:rsidRPr="00A00299">
        <w:rPr>
          <w:rStyle w:val="FootnoteReference"/>
          <w:rFonts w:ascii="Palatino Linotype" w:hAnsi="Palatino Linotype"/>
        </w:rPr>
        <w:footnoteReference w:id="10"/>
      </w:r>
      <w:r w:rsidRPr="00A00299">
        <w:rPr>
          <w:rFonts w:ascii="Palatino Linotype" w:hAnsi="Palatino Linotype"/>
        </w:rPr>
        <w:t xml:space="preserve"> can motivate me to search for reasons which bear on its accuracy, especially when it is questioned.  </w:t>
      </w:r>
    </w:p>
    <w:p w14:paraId="40415067" w14:textId="03EB918E" w:rsidR="00D818CA" w:rsidRPr="00A00299" w:rsidRDefault="008B7D3A" w:rsidP="008A5E23">
      <w:pPr>
        <w:spacing w:line="480" w:lineRule="auto"/>
        <w:ind w:firstLine="730"/>
        <w:rPr>
          <w:rFonts w:ascii="Palatino Linotype" w:hAnsi="Palatino Linotype" w:cs="Times New Roman"/>
        </w:rPr>
      </w:pPr>
      <w:r w:rsidRPr="00A00299">
        <w:rPr>
          <w:rFonts w:ascii="Palatino Linotype" w:hAnsi="Palatino Linotype"/>
          <w:b/>
        </w:rPr>
        <w:t>2</w:t>
      </w:r>
      <w:r w:rsidR="00EF2FFC" w:rsidRPr="00A00299">
        <w:rPr>
          <w:rFonts w:ascii="Palatino Linotype" w:hAnsi="Palatino Linotype"/>
          <w:b/>
        </w:rPr>
        <w:t xml:space="preserve">. </w:t>
      </w:r>
      <w:r w:rsidR="000E3D06" w:rsidRPr="00A00299">
        <w:rPr>
          <w:rFonts w:ascii="Palatino Linotype" w:hAnsi="Palatino Linotype"/>
          <w:b/>
        </w:rPr>
        <w:t>Problematic states</w:t>
      </w:r>
    </w:p>
    <w:p w14:paraId="0553793B" w14:textId="0672364B" w:rsidR="00F1457B" w:rsidRPr="00A00299" w:rsidRDefault="008B7D3A" w:rsidP="00F54A5F">
      <w:pPr>
        <w:spacing w:line="480" w:lineRule="auto"/>
        <w:ind w:left="-90"/>
        <w:outlineLvl w:val="0"/>
        <w:rPr>
          <w:rFonts w:ascii="Palatino Linotype" w:hAnsi="Palatino Linotype"/>
          <w:i/>
        </w:rPr>
      </w:pPr>
      <w:r w:rsidRPr="00A00299">
        <w:rPr>
          <w:rFonts w:ascii="Palatino Linotype" w:hAnsi="Palatino Linotype"/>
          <w:i/>
        </w:rPr>
        <w:t>2</w:t>
      </w:r>
      <w:r w:rsidR="00F1457B" w:rsidRPr="00A00299">
        <w:rPr>
          <w:rFonts w:ascii="Palatino Linotype" w:hAnsi="Palatino Linotype"/>
          <w:i/>
        </w:rPr>
        <w:t xml:space="preserve">.1. Delusions </w:t>
      </w:r>
    </w:p>
    <w:p w14:paraId="7BA1ADC3" w14:textId="4C2524CA" w:rsidR="00FD4E50" w:rsidRPr="00A00299" w:rsidRDefault="00FD4E50" w:rsidP="00FD4E50">
      <w:pPr>
        <w:spacing w:line="480" w:lineRule="auto"/>
        <w:ind w:left="-90"/>
        <w:outlineLvl w:val="0"/>
        <w:rPr>
          <w:rFonts w:ascii="Palatino Linotype" w:hAnsi="Palatino Linotype"/>
        </w:rPr>
      </w:pPr>
      <w:r w:rsidRPr="00A00299">
        <w:rPr>
          <w:rFonts w:ascii="Palatino Linotype" w:hAnsi="Palatino Linotype"/>
        </w:rPr>
        <w:t>Here is a case study described in a</w:t>
      </w:r>
      <w:r w:rsidR="00D8719D" w:rsidRPr="00A00299">
        <w:rPr>
          <w:rFonts w:ascii="Palatino Linotype" w:hAnsi="Palatino Linotype"/>
        </w:rPr>
        <w:t xml:space="preserve"> psychiatric journal:</w:t>
      </w:r>
    </w:p>
    <w:p w14:paraId="05EEFAA0" w14:textId="6E3D0094" w:rsidR="00FD4E50" w:rsidRPr="00A00299" w:rsidRDefault="00FD4E50" w:rsidP="00DB4AAF">
      <w:pPr>
        <w:spacing w:line="480" w:lineRule="auto"/>
        <w:ind w:left="-90"/>
        <w:outlineLvl w:val="0"/>
        <w:rPr>
          <w:rFonts w:ascii="Palatino Linotype" w:eastAsia="Times New Roman" w:hAnsi="Palatino Linotype" w:cs="Times New Roman"/>
        </w:rPr>
      </w:pPr>
      <w:r w:rsidRPr="00A00299">
        <w:rPr>
          <w:rStyle w:val="current-selection"/>
          <w:rFonts w:ascii="Palatino Linotype" w:eastAsia="Times New Roman" w:hAnsi="Palatino Linotype" w:cs="Times New Roman"/>
        </w:rPr>
        <w:lastRenderedPageBreak/>
        <w:t>RY is a 17-year-old man who was admitted to a</w:t>
      </w:r>
      <w:r w:rsidRPr="00A00299">
        <w:rPr>
          <w:rFonts w:ascii="Palatino Linotype" w:eastAsia="Times New Roman" w:hAnsi="Palatino Linotype" w:cs="Times New Roman"/>
        </w:rPr>
        <w:t xml:space="preserve"> </w:t>
      </w:r>
      <w:r w:rsidRPr="00A00299">
        <w:rPr>
          <w:rStyle w:val="current-selection"/>
          <w:rFonts w:ascii="Palatino Linotype" w:eastAsia="Times New Roman" w:hAnsi="Palatino Linotype" w:cs="Times New Roman"/>
        </w:rPr>
        <w:t xml:space="preserve">metropolitan rehabilitation facility 4 weeks after sustaining an extremely severe  traumatic  brain  injury. He was suffering both from </w:t>
      </w:r>
      <w:proofErr w:type="spellStart"/>
      <w:r w:rsidRPr="00A00299">
        <w:rPr>
          <w:rStyle w:val="current-selection"/>
          <w:rFonts w:ascii="Palatino Linotype" w:eastAsia="Times New Roman" w:hAnsi="Palatino Linotype" w:cs="Times New Roman"/>
        </w:rPr>
        <w:t>Cotard</w:t>
      </w:r>
      <w:proofErr w:type="spellEnd"/>
      <w:r w:rsidRPr="00A00299">
        <w:rPr>
          <w:rStyle w:val="current-selection"/>
          <w:rFonts w:ascii="Palatino Linotype" w:eastAsia="Times New Roman" w:hAnsi="Palatino Linotype" w:cs="Times New Roman"/>
        </w:rPr>
        <w:t xml:space="preserve"> syndrome and </w:t>
      </w:r>
      <w:proofErr w:type="spellStart"/>
      <w:r w:rsidRPr="00A00299">
        <w:rPr>
          <w:rStyle w:val="current-selection"/>
          <w:rFonts w:ascii="Palatino Linotype" w:eastAsia="Times New Roman" w:hAnsi="Palatino Linotype" w:cs="Times New Roman"/>
        </w:rPr>
        <w:t>Capras</w:t>
      </w:r>
      <w:proofErr w:type="spellEnd"/>
      <w:r w:rsidRPr="00A00299">
        <w:rPr>
          <w:rStyle w:val="current-selection"/>
          <w:rFonts w:ascii="Palatino Linotype" w:eastAsia="Times New Roman" w:hAnsi="Palatino Linotype" w:cs="Times New Roman"/>
        </w:rPr>
        <w:t xml:space="preserve"> syndrome</w:t>
      </w:r>
      <w:r w:rsidR="00DB4AAF" w:rsidRPr="00A00299">
        <w:rPr>
          <w:rStyle w:val="current-selection"/>
          <w:rFonts w:ascii="Palatino Linotype" w:eastAsia="Times New Roman" w:hAnsi="Palatino Linotype" w:cs="Times New Roman"/>
        </w:rPr>
        <w:t>. He is described as having the “belief that his father was an</w:t>
      </w:r>
      <w:r w:rsidR="00DB4AAF" w:rsidRPr="00A00299">
        <w:rPr>
          <w:rFonts w:ascii="Palatino Linotype" w:eastAsia="Times New Roman" w:hAnsi="Palatino Linotype" w:cs="Times New Roman"/>
        </w:rPr>
        <w:t xml:space="preserve"> </w:t>
      </w:r>
      <w:r w:rsidR="00DB4AAF" w:rsidRPr="00A00299">
        <w:rPr>
          <w:rStyle w:val="current-selection"/>
          <w:rFonts w:ascii="Palatino Linotype" w:eastAsia="Times New Roman" w:hAnsi="Palatino Linotype" w:cs="Times New Roman"/>
        </w:rPr>
        <w:t>imposter” and the “belief he was dead and imprisoned in hell.”</w:t>
      </w:r>
      <w:r w:rsidR="00D8719D" w:rsidRPr="00A00299">
        <w:rPr>
          <w:rStyle w:val="current-selection"/>
          <w:rFonts w:ascii="Palatino Linotype" w:eastAsia="Times New Roman" w:hAnsi="Palatino Linotype" w:cs="Times New Roman"/>
        </w:rPr>
        <w:t xml:space="preserve"> (Butler 2000)</w:t>
      </w:r>
    </w:p>
    <w:p w14:paraId="6E5E8407" w14:textId="2929CFD4" w:rsidR="00F1457B" w:rsidRPr="00A00299" w:rsidRDefault="00F1457B" w:rsidP="00FF0D93">
      <w:pPr>
        <w:spacing w:line="480" w:lineRule="auto"/>
        <w:ind w:left="-90"/>
        <w:rPr>
          <w:rFonts w:ascii="Palatino Linotype" w:hAnsi="Palatino Linotype"/>
          <w:i/>
        </w:rPr>
      </w:pPr>
      <w:r w:rsidRPr="00A00299">
        <w:rPr>
          <w:rFonts w:ascii="Palatino Linotype" w:hAnsi="Palatino Linotype"/>
          <w:i/>
        </w:rPr>
        <w:tab/>
      </w:r>
      <w:r w:rsidRPr="00A00299">
        <w:rPr>
          <w:rFonts w:ascii="Palatino Linotype" w:hAnsi="Palatino Linotype"/>
          <w:i/>
        </w:rPr>
        <w:tab/>
      </w:r>
      <w:r w:rsidRPr="00A00299">
        <w:rPr>
          <w:rFonts w:ascii="Palatino Linotype" w:hAnsi="Palatino Linotype"/>
        </w:rPr>
        <w:t xml:space="preserve">While providing an account of delusions which distinguishes </w:t>
      </w:r>
      <w:r w:rsidR="00CA29FD" w:rsidRPr="00A00299">
        <w:rPr>
          <w:rFonts w:ascii="Palatino Linotype" w:hAnsi="Palatino Linotype"/>
        </w:rPr>
        <w:t xml:space="preserve">them </w:t>
      </w:r>
      <w:r w:rsidR="006E083E" w:rsidRPr="00A00299">
        <w:rPr>
          <w:rFonts w:ascii="Palatino Linotype" w:hAnsi="Palatino Linotype"/>
        </w:rPr>
        <w:t>f</w:t>
      </w:r>
      <w:r w:rsidRPr="00A00299">
        <w:rPr>
          <w:rFonts w:ascii="Palatino Linotype" w:hAnsi="Palatino Linotype"/>
        </w:rPr>
        <w:t>rom other false and irrational beliefs proves almost as difficult as providing an account of belief which distinguishes it from other mental states, we do not here need the degree of precision that may be needed if one were using the definition for clinical purposes.</w:t>
      </w:r>
      <w:r w:rsidRPr="00A00299">
        <w:rPr>
          <w:rStyle w:val="FootnoteReference"/>
          <w:rFonts w:ascii="Palatino Linotype" w:hAnsi="Palatino Linotype"/>
        </w:rPr>
        <w:footnoteReference w:id="11"/>
      </w:r>
      <w:r w:rsidRPr="00A00299">
        <w:rPr>
          <w:rFonts w:ascii="Palatino Linotype" w:hAnsi="Palatino Linotype"/>
        </w:rPr>
        <w:t xml:space="preserve"> I will use “delusion” to refer to a state of “holding true” that is resistant to change despite “clear …contradictory evidence regarding its veracity</w:t>
      </w:r>
      <w:r w:rsidR="00DB4AAF" w:rsidRPr="00A00299">
        <w:rPr>
          <w:rFonts w:ascii="Palatino Linotype" w:hAnsi="Palatino Linotype"/>
        </w:rPr>
        <w:t>.</w:t>
      </w:r>
      <w:r w:rsidRPr="00A00299">
        <w:rPr>
          <w:rFonts w:ascii="Palatino Linotype" w:hAnsi="Palatino Linotype"/>
        </w:rPr>
        <w:t>”</w:t>
      </w:r>
      <w:r w:rsidRPr="00A00299">
        <w:rPr>
          <w:rStyle w:val="FootnoteReference"/>
          <w:rFonts w:ascii="Palatino Linotype" w:hAnsi="Palatino Linotype"/>
        </w:rPr>
        <w:footnoteReference w:id="12"/>
      </w:r>
      <w:r w:rsidR="00DB4AAF" w:rsidRPr="00A00299">
        <w:rPr>
          <w:rFonts w:ascii="Palatino Linotype" w:hAnsi="Palatino Linotype"/>
        </w:rPr>
        <w:t xml:space="preserve"> As we see in the case of RY,</w:t>
      </w:r>
      <w:r w:rsidRPr="00A00299">
        <w:rPr>
          <w:rFonts w:ascii="Palatino Linotype" w:hAnsi="Palatino Linotype"/>
          <w:i/>
        </w:rPr>
        <w:t xml:space="preserve"> </w:t>
      </w:r>
      <w:r w:rsidRPr="00A00299">
        <w:rPr>
          <w:rFonts w:ascii="Palatino Linotype" w:hAnsi="Palatino Linotype"/>
        </w:rPr>
        <w:t xml:space="preserve">belief </w:t>
      </w:r>
      <w:r w:rsidR="00E5362F">
        <w:rPr>
          <w:rFonts w:ascii="Palatino Linotype" w:hAnsi="Palatino Linotype"/>
        </w:rPr>
        <w:t xml:space="preserve">attribution </w:t>
      </w:r>
      <w:r w:rsidR="00E163E1" w:rsidRPr="00A00299">
        <w:rPr>
          <w:rFonts w:ascii="Palatino Linotype" w:hAnsi="Palatino Linotype"/>
        </w:rPr>
        <w:t>is used</w:t>
      </w:r>
      <w:r w:rsidR="002C25F2" w:rsidRPr="00A00299">
        <w:rPr>
          <w:rFonts w:ascii="Palatino Linotype" w:hAnsi="Palatino Linotype"/>
        </w:rPr>
        <w:t xml:space="preserve"> by psychologists</w:t>
      </w:r>
      <w:r w:rsidR="00DB4AAF" w:rsidRPr="00A00299">
        <w:rPr>
          <w:rFonts w:ascii="Palatino Linotype" w:hAnsi="Palatino Linotype"/>
        </w:rPr>
        <w:t xml:space="preserve"> and psychiatrists</w:t>
      </w:r>
      <w:r w:rsidR="00E163E1" w:rsidRPr="00A00299">
        <w:rPr>
          <w:rFonts w:ascii="Palatino Linotype" w:hAnsi="Palatino Linotype"/>
        </w:rPr>
        <w:t xml:space="preserve"> </w:t>
      </w:r>
      <w:r w:rsidRPr="00A00299">
        <w:rPr>
          <w:rFonts w:ascii="Palatino Linotype" w:hAnsi="Palatino Linotype"/>
        </w:rPr>
        <w:t xml:space="preserve">to describe </w:t>
      </w:r>
      <w:r w:rsidR="00E163E1" w:rsidRPr="00A00299">
        <w:rPr>
          <w:rFonts w:ascii="Palatino Linotype" w:hAnsi="Palatino Linotype"/>
        </w:rPr>
        <w:t xml:space="preserve">what is going on in such cases. </w:t>
      </w:r>
      <w:r w:rsidRPr="00A00299">
        <w:rPr>
          <w:rFonts w:ascii="Palatino Linotype" w:hAnsi="Palatino Linotype"/>
        </w:rPr>
        <w:t>But it has seemed to many that this use of belief is misguided; that delusions do not exhibit some of the features required to be designated beliefs.</w:t>
      </w:r>
      <w:r w:rsidR="00E163E1" w:rsidRPr="00A00299">
        <w:rPr>
          <w:rFonts w:ascii="Palatino Linotype" w:hAnsi="Palatino Linotype"/>
        </w:rPr>
        <w:t xml:space="preserve"> The </w:t>
      </w:r>
      <w:r w:rsidR="00340077" w:rsidRPr="00A00299">
        <w:rPr>
          <w:rFonts w:ascii="Palatino Linotype" w:hAnsi="Palatino Linotype"/>
        </w:rPr>
        <w:t xml:space="preserve">two </w:t>
      </w:r>
      <w:r w:rsidR="00E163E1" w:rsidRPr="00A00299">
        <w:rPr>
          <w:rFonts w:ascii="Palatino Linotype" w:hAnsi="Palatino Linotype"/>
        </w:rPr>
        <w:t>main feature</w:t>
      </w:r>
      <w:r w:rsidR="00045B84">
        <w:rPr>
          <w:rFonts w:ascii="Palatino Linotype" w:hAnsi="Palatino Linotype"/>
        </w:rPr>
        <w:t>s</w:t>
      </w:r>
      <w:r w:rsidR="00E163E1" w:rsidRPr="00A00299">
        <w:rPr>
          <w:rFonts w:ascii="Palatino Linotype" w:hAnsi="Palatino Linotype"/>
        </w:rPr>
        <w:t xml:space="preserve"> pointed to by those endorsing “non-</w:t>
      </w:r>
      <w:proofErr w:type="spellStart"/>
      <w:r w:rsidR="00E163E1" w:rsidRPr="00A00299">
        <w:rPr>
          <w:rFonts w:ascii="Palatino Linotype" w:hAnsi="Palatino Linotype"/>
        </w:rPr>
        <w:t>doxasticism</w:t>
      </w:r>
      <w:proofErr w:type="spellEnd"/>
      <w:r w:rsidR="00E163E1" w:rsidRPr="00A00299">
        <w:rPr>
          <w:rFonts w:ascii="Palatino Linotype" w:hAnsi="Palatino Linotype"/>
        </w:rPr>
        <w:t xml:space="preserve">” about delusions is that they fail to respond </w:t>
      </w:r>
      <w:r w:rsidR="00E163E1" w:rsidRPr="00A00299">
        <w:rPr>
          <w:rFonts w:ascii="Palatino Linotype" w:hAnsi="Palatino Linotype"/>
        </w:rPr>
        <w:lastRenderedPageBreak/>
        <w:t>to evidence</w:t>
      </w:r>
      <w:r w:rsidR="00340077" w:rsidRPr="00A00299">
        <w:rPr>
          <w:rFonts w:ascii="Palatino Linotype" w:hAnsi="Palatino Linotype"/>
        </w:rPr>
        <w:t>, and they do not seem to figure in actions and deliberation the way beliefs generally do.</w:t>
      </w:r>
      <w:r w:rsidR="00E163E1" w:rsidRPr="00A00299">
        <w:rPr>
          <w:rFonts w:ascii="Palatino Linotype" w:hAnsi="Palatino Linotype"/>
        </w:rPr>
        <w:t xml:space="preserve"> </w:t>
      </w:r>
      <w:r w:rsidRPr="00A00299">
        <w:rPr>
          <w:rStyle w:val="FootnoteReference"/>
          <w:rFonts w:ascii="Palatino Linotype" w:hAnsi="Palatino Linotype"/>
        </w:rPr>
        <w:footnoteReference w:id="13"/>
      </w:r>
      <w:r w:rsidR="00E163E1" w:rsidRPr="00A00299">
        <w:rPr>
          <w:rFonts w:ascii="Palatino Linotype" w:hAnsi="Palatino Linotype"/>
        </w:rPr>
        <w:t xml:space="preserve"> </w:t>
      </w:r>
    </w:p>
    <w:p w14:paraId="6F6DBFE0" w14:textId="6D3BC2D7" w:rsidR="00F1457B" w:rsidRPr="00A00299" w:rsidRDefault="00F1457B" w:rsidP="00460D76">
      <w:pPr>
        <w:spacing w:line="480" w:lineRule="auto"/>
        <w:ind w:left="-90"/>
        <w:rPr>
          <w:rFonts w:ascii="Palatino Linotype" w:hAnsi="Palatino Linotype" w:cs="Times New Roman"/>
        </w:rPr>
      </w:pPr>
      <w:r w:rsidRPr="00A00299">
        <w:rPr>
          <w:rFonts w:ascii="Palatino Linotype" w:hAnsi="Palatino Linotype"/>
        </w:rPr>
        <w:tab/>
      </w:r>
      <w:r w:rsidRPr="00A00299">
        <w:rPr>
          <w:rFonts w:ascii="Palatino Linotype" w:hAnsi="Palatino Linotype"/>
        </w:rPr>
        <w:tab/>
        <w:t xml:space="preserve"> </w:t>
      </w:r>
      <w:r w:rsidR="00460D76" w:rsidRPr="00A00299">
        <w:rPr>
          <w:rFonts w:ascii="Palatino Linotype" w:hAnsi="Palatino Linotype"/>
        </w:rPr>
        <w:t xml:space="preserve">How unresponsive to evidence does a state needs to be for it to cease to be a belief? David </w:t>
      </w:r>
      <w:proofErr w:type="spellStart"/>
      <w:r w:rsidR="00460D76" w:rsidRPr="00A00299">
        <w:rPr>
          <w:rFonts w:ascii="Palatino Linotype" w:hAnsi="Palatino Linotype"/>
        </w:rPr>
        <w:t>Velleman</w:t>
      </w:r>
      <w:proofErr w:type="spellEnd"/>
      <w:r w:rsidRPr="00A00299">
        <w:rPr>
          <w:rFonts w:ascii="Palatino Linotype" w:hAnsi="Palatino Linotype"/>
        </w:rPr>
        <w:t xml:space="preserve"> </w:t>
      </w:r>
      <w:r w:rsidR="00460D76" w:rsidRPr="00A00299">
        <w:rPr>
          <w:rFonts w:ascii="Palatino Linotype" w:hAnsi="Palatino Linotype"/>
        </w:rPr>
        <w:t>considers other kinds of non-delusional recalcitrant beliefs like, for</w:t>
      </w:r>
      <w:r w:rsidRPr="00A00299">
        <w:rPr>
          <w:rFonts w:ascii="Palatino Linotype" w:hAnsi="Palatino Linotype" w:cs="Times New Roman"/>
        </w:rPr>
        <w:t xml:space="preserve"> example</w:t>
      </w:r>
      <w:r w:rsidR="00460D76" w:rsidRPr="00A00299">
        <w:rPr>
          <w:rFonts w:ascii="Palatino Linotype" w:hAnsi="Palatino Linotype" w:cs="Times New Roman"/>
        </w:rPr>
        <w:t>, our belief that we are more popular than we are</w:t>
      </w:r>
      <w:r w:rsidR="00045B84">
        <w:rPr>
          <w:rFonts w:ascii="Palatino Linotype" w:hAnsi="Palatino Linotype" w:cs="Times New Roman"/>
        </w:rPr>
        <w:t xml:space="preserve">. Such a belief may be revisable when faced with enough evidence in way delusions are not.  </w:t>
      </w:r>
      <w:r w:rsidR="00460D76" w:rsidRPr="00A00299">
        <w:rPr>
          <w:rFonts w:ascii="Palatino Linotype" w:hAnsi="Palatino Linotype" w:cs="Times New Roman"/>
        </w:rPr>
        <w:t xml:space="preserve">He says the </w:t>
      </w:r>
      <w:r w:rsidRPr="00A00299">
        <w:rPr>
          <w:rFonts w:ascii="Palatino Linotype" w:hAnsi="Palatino Linotype" w:cs="Times New Roman"/>
        </w:rPr>
        <w:t xml:space="preserve">less responsive a state is to “corrective influences,” namely the less evidence-sensitive it is, the less likely </w:t>
      </w:r>
      <w:r w:rsidR="00460D76" w:rsidRPr="00A00299">
        <w:rPr>
          <w:rFonts w:ascii="Palatino Linotype" w:hAnsi="Palatino Linotype" w:cs="Times New Roman"/>
        </w:rPr>
        <w:t>he</w:t>
      </w:r>
      <w:r w:rsidRPr="00A00299">
        <w:rPr>
          <w:rFonts w:ascii="Palatino Linotype" w:hAnsi="Palatino Linotype" w:cs="Times New Roman"/>
        </w:rPr>
        <w:t xml:space="preserve"> is to call it a belief</w:t>
      </w:r>
      <w:r w:rsidR="00045B84">
        <w:rPr>
          <w:rFonts w:ascii="Palatino Linotype" w:hAnsi="Palatino Linotype" w:cs="Times New Roman"/>
        </w:rPr>
        <w:t xml:space="preserve">. </w:t>
      </w:r>
      <w:r w:rsidRPr="00A00299">
        <w:rPr>
          <w:rFonts w:ascii="Palatino Linotype" w:hAnsi="Palatino Linotype" w:cs="Times New Roman"/>
        </w:rPr>
        <w:t xml:space="preserve"> For example, he says that someone who is not Napoleon but who professes that he is does not actually have the belief that he is Napoleon.  We normally describe such a person as believing he is Napoleon but, according to </w:t>
      </w:r>
      <w:proofErr w:type="spellStart"/>
      <w:r w:rsidRPr="00A00299">
        <w:rPr>
          <w:rFonts w:ascii="Palatino Linotype" w:hAnsi="Palatino Linotype" w:cs="Times New Roman"/>
        </w:rPr>
        <w:t>Velleman</w:t>
      </w:r>
      <w:proofErr w:type="spellEnd"/>
      <w:r w:rsidRPr="00A00299">
        <w:rPr>
          <w:rFonts w:ascii="Palatino Linotype" w:hAnsi="Palatino Linotype" w:cs="Times New Roman"/>
        </w:rPr>
        <w:t xml:space="preserve">, we are mistaken in this usage: </w:t>
      </w:r>
    </w:p>
    <w:p w14:paraId="6066DE2C" w14:textId="5E1BD470" w:rsidR="00F1457B" w:rsidRPr="00A00299" w:rsidRDefault="00F1457B" w:rsidP="00FE6236">
      <w:pPr>
        <w:spacing w:line="480" w:lineRule="auto"/>
        <w:ind w:left="720"/>
        <w:jc w:val="both"/>
        <w:rPr>
          <w:rFonts w:ascii="Palatino Linotype" w:hAnsi="Palatino Linotype" w:cs="Times New Roman"/>
        </w:rPr>
      </w:pPr>
      <w:r w:rsidRPr="00A00299">
        <w:rPr>
          <w:rFonts w:ascii="Palatino Linotype" w:hAnsi="Palatino Linotype" w:cs="Times New Roman"/>
        </w:rPr>
        <w:lastRenderedPageBreak/>
        <w:t>Aren’t there people who believe that they are Napoleon? (People other than Napoleon, I mean.) Don’t such people have a belief that isn’t regulated for truth? I think the answer is that it isn’t literally a belief. I suspect that we tend to apply the term ‘belief’ in a figurative sense to phantasies for which the subject doesn’t or cannot have countervailing beliefs…The phantasy of being Napoleon is thus what he has instead of a belief about his identity; and in this sense it is his belief on the topic, just as a cardboard box on the sidewalk may be his house by virtue of being what he has instead of a house. If you ask me, however, a cardboard box on the sidewalk isn’t really a house. And a phantasy of being Napoleon isn’t really a belief. (2000, 289)</w:t>
      </w:r>
    </w:p>
    <w:p w14:paraId="65662A1B" w14:textId="2D354C61" w:rsidR="00F1457B" w:rsidRPr="00A00299" w:rsidRDefault="00F1457B" w:rsidP="00F63108">
      <w:pPr>
        <w:spacing w:line="480" w:lineRule="auto"/>
        <w:ind w:firstLine="720"/>
        <w:rPr>
          <w:rFonts w:ascii="Palatino Linotype" w:hAnsi="Palatino Linotype" w:cs="Times New Roman"/>
        </w:rPr>
      </w:pPr>
      <w:r w:rsidRPr="00A00299">
        <w:rPr>
          <w:rFonts w:ascii="Palatino Linotype" w:hAnsi="Palatino Linotype"/>
        </w:rPr>
        <w:t>What excl</w:t>
      </w:r>
      <w:r w:rsidR="00674DFC" w:rsidRPr="00A00299">
        <w:rPr>
          <w:rFonts w:ascii="Palatino Linotype" w:hAnsi="Palatino Linotype"/>
        </w:rPr>
        <w:t xml:space="preserve">udes this kind of </w:t>
      </w:r>
      <w:r w:rsidR="00ED6548" w:rsidRPr="00A00299">
        <w:rPr>
          <w:rFonts w:ascii="Palatino Linotype" w:hAnsi="Palatino Linotype"/>
        </w:rPr>
        <w:t xml:space="preserve">state </w:t>
      </w:r>
      <w:r w:rsidRPr="00A00299">
        <w:rPr>
          <w:rFonts w:ascii="Palatino Linotype" w:hAnsi="Palatino Linotype"/>
        </w:rPr>
        <w:t xml:space="preserve"> from being a belief, for </w:t>
      </w:r>
      <w:proofErr w:type="spellStart"/>
      <w:r w:rsidRPr="00A00299">
        <w:rPr>
          <w:rFonts w:ascii="Palatino Linotype" w:hAnsi="Palatino Linotype"/>
        </w:rPr>
        <w:t>Velleman</w:t>
      </w:r>
      <w:proofErr w:type="spellEnd"/>
      <w:r w:rsidRPr="00A00299">
        <w:rPr>
          <w:rFonts w:ascii="Palatino Linotype" w:hAnsi="Palatino Linotype"/>
        </w:rPr>
        <w:t>, is that “</w:t>
      </w:r>
      <w:r w:rsidRPr="00A00299">
        <w:rPr>
          <w:rFonts w:ascii="Palatino Linotype" w:hAnsi="Palatino Linotype" w:cs="Times New Roman"/>
        </w:rPr>
        <w:t xml:space="preserve">the subject doesn’t or cannot have countervailing beliefs” that can dislodge it. That one </w:t>
      </w:r>
      <w:r w:rsidRPr="00A00299">
        <w:rPr>
          <w:rFonts w:ascii="Palatino Linotype" w:hAnsi="Palatino Linotype" w:cs="Times New Roman"/>
          <w:i/>
        </w:rPr>
        <w:t>does not</w:t>
      </w:r>
      <w:r w:rsidRPr="00A00299">
        <w:rPr>
          <w:rFonts w:ascii="Palatino Linotype" w:hAnsi="Palatino Linotype" w:cs="Times New Roman"/>
        </w:rPr>
        <w:t xml:space="preserve"> actually possess beliefs counter to something else one believes cannot be a reason to rule it out; one will not have countervailing beliefs to the ones that are the most secure and rational</w:t>
      </w:r>
      <w:r w:rsidR="0048128E" w:rsidRPr="00A00299">
        <w:rPr>
          <w:rFonts w:ascii="Palatino Linotype" w:hAnsi="Palatino Linotype" w:cs="Times New Roman"/>
        </w:rPr>
        <w:t>, for example that circles cannot be squares or I had eggs for breakfast this morning.</w:t>
      </w:r>
      <w:r w:rsidRPr="00A00299">
        <w:rPr>
          <w:rFonts w:ascii="Palatino Linotype" w:hAnsi="Palatino Linotype" w:cs="Times New Roman"/>
        </w:rPr>
        <w:t xml:space="preserve"> So it has to be because the subject “cannot” have countervailing beliefs or evidence that would alter the “phantasy” that excludes it from being a belief.  But what kind of “cannot” is at issue here?  In the case of delusions the “cannot” is psychological.  And </w:t>
      </w:r>
      <w:r w:rsidRPr="00A00299">
        <w:rPr>
          <w:rFonts w:ascii="Palatino Linotype" w:hAnsi="Palatino Linotype" w:cs="Times New Roman"/>
        </w:rPr>
        <w:lastRenderedPageBreak/>
        <w:t xml:space="preserve">depending on the type of delusion, one may have some countervailing evidence based on testimony, or discovered in the course of treatment that can lead to revision. These countervailing beliefs may even help to explain why some of the typical behavior associated with beliefs </w:t>
      </w:r>
      <w:r w:rsidR="00FE6236" w:rsidRPr="00A00299">
        <w:rPr>
          <w:rFonts w:ascii="Palatino Linotype" w:hAnsi="Palatino Linotype" w:cs="Times New Roman"/>
        </w:rPr>
        <w:t xml:space="preserve">are </w:t>
      </w:r>
      <w:r w:rsidRPr="00A00299">
        <w:rPr>
          <w:rFonts w:ascii="Palatino Linotype" w:hAnsi="Palatino Linotype" w:cs="Times New Roman"/>
        </w:rPr>
        <w:t>sometimes absent in the case of delusions.</w:t>
      </w:r>
      <w:r w:rsidRPr="00A00299">
        <w:rPr>
          <w:rStyle w:val="FootnoteReference"/>
          <w:rFonts w:ascii="Palatino Linotype" w:hAnsi="Palatino Linotype" w:cs="Times New Roman"/>
        </w:rPr>
        <w:footnoteReference w:id="14"/>
      </w:r>
      <w:r w:rsidRPr="00A00299">
        <w:rPr>
          <w:rFonts w:ascii="Palatino Linotype" w:hAnsi="Palatino Linotype" w:cs="Times New Roman"/>
        </w:rPr>
        <w:t xml:space="preserve"> </w:t>
      </w:r>
    </w:p>
    <w:p w14:paraId="1B6A2BC5" w14:textId="2B04786B" w:rsidR="00F1457B" w:rsidRPr="00A00299" w:rsidRDefault="00F1457B" w:rsidP="00FF0D93">
      <w:pPr>
        <w:spacing w:line="480" w:lineRule="auto"/>
        <w:ind w:left="-90"/>
        <w:rPr>
          <w:rFonts w:ascii="Palatino Linotype" w:hAnsi="Palatino Linotype" w:cs="Times New Roman"/>
        </w:rPr>
      </w:pPr>
      <w:r w:rsidRPr="00A00299">
        <w:rPr>
          <w:rFonts w:ascii="Palatino Linotype" w:hAnsi="Palatino Linotype" w:cs="Times New Roman"/>
        </w:rPr>
        <w:tab/>
      </w:r>
      <w:r w:rsidRPr="00A00299">
        <w:rPr>
          <w:rFonts w:ascii="Palatino Linotype" w:hAnsi="Palatino Linotype" w:cs="Times New Roman"/>
        </w:rPr>
        <w:tab/>
        <w:t>Many prejudiced and biased belie</w:t>
      </w:r>
      <w:r w:rsidR="00674DFC" w:rsidRPr="00A00299">
        <w:rPr>
          <w:rFonts w:ascii="Palatino Linotype" w:hAnsi="Palatino Linotype" w:cs="Times New Roman"/>
        </w:rPr>
        <w:t>fs are so deeply engrained that</w:t>
      </w:r>
      <w:r w:rsidRPr="00A00299">
        <w:rPr>
          <w:rFonts w:ascii="Palatino Linotype" w:hAnsi="Palatino Linotype" w:cs="Times New Roman"/>
        </w:rPr>
        <w:t xml:space="preserve"> it seems that one “doesn’t or cannot have countervailing beliefs” capable of dislodging them. To distinguish these from delusions one would need to argue that one </w:t>
      </w:r>
      <w:r w:rsidRPr="00A00299">
        <w:rPr>
          <w:rFonts w:ascii="Palatino Linotype" w:hAnsi="Palatino Linotype" w:cs="Times New Roman"/>
          <w:i/>
        </w:rPr>
        <w:t>could</w:t>
      </w:r>
      <w:r w:rsidRPr="00A00299">
        <w:rPr>
          <w:rFonts w:ascii="Palatino Linotype" w:hAnsi="Palatino Linotype" w:cs="Times New Roman"/>
        </w:rPr>
        <w:t xml:space="preserve"> revise them in a sense that those with delusions </w:t>
      </w:r>
      <w:r w:rsidRPr="00A00299">
        <w:rPr>
          <w:rFonts w:ascii="Palatino Linotype" w:hAnsi="Palatino Linotype" w:cs="Times New Roman"/>
          <w:i/>
        </w:rPr>
        <w:t>cannot</w:t>
      </w:r>
      <w:r w:rsidRPr="00A00299">
        <w:rPr>
          <w:rFonts w:ascii="Palatino Linotype" w:hAnsi="Palatino Linotype" w:cs="Times New Roman"/>
        </w:rPr>
        <w:t xml:space="preserve"> but again, if the impossibility (or extremely high degree of difficulty) is psychological, it is hard to see how such a distinction can be made in a principled way.</w:t>
      </w:r>
      <w:r w:rsidR="002C25F2" w:rsidRPr="00A00299">
        <w:rPr>
          <w:rStyle w:val="FootnoteReference"/>
          <w:rFonts w:ascii="Palatino Linotype" w:hAnsi="Palatino Linotype" w:cs="Times New Roman"/>
        </w:rPr>
        <w:footnoteReference w:id="15"/>
      </w:r>
      <w:r w:rsidRPr="00A00299">
        <w:rPr>
          <w:rFonts w:ascii="Palatino Linotype" w:hAnsi="Palatino Linotype" w:cs="Times New Roman"/>
        </w:rPr>
        <w:t xml:space="preserve"> The risk of excluding delusions from the belief-family is that similar considerations will lead us to exclude other false, irrational beliefs. Yet it is important that those other beliefs remain so that they can be exposed, criticized and possibly even altered. If </w:t>
      </w:r>
      <w:r w:rsidRPr="00A00299">
        <w:rPr>
          <w:rFonts w:ascii="Palatino Linotype" w:hAnsi="Palatino Linotype" w:cs="Times New Roman"/>
        </w:rPr>
        <w:lastRenderedPageBreak/>
        <w:t xml:space="preserve">delusions are excluded as beliefs, </w:t>
      </w:r>
      <w:r w:rsidRPr="00A00299">
        <w:rPr>
          <w:rFonts w:ascii="Palatino Linotype" w:hAnsi="Palatino Linotype"/>
        </w:rPr>
        <w:t>we are at risk of only counting rational beliefs as</w:t>
      </w:r>
      <w:r w:rsidRPr="00A00299">
        <w:rPr>
          <w:rFonts w:ascii="Palatino Linotype" w:hAnsi="Palatino Linotype"/>
          <w:i/>
        </w:rPr>
        <w:t xml:space="preserve"> actual</w:t>
      </w:r>
      <w:r w:rsidRPr="00A00299">
        <w:rPr>
          <w:rFonts w:ascii="Palatino Linotype" w:hAnsi="Palatino Linotype"/>
        </w:rPr>
        <w:t xml:space="preserve"> beliefs. </w:t>
      </w:r>
      <w:r w:rsidR="00697960" w:rsidRPr="00A00299">
        <w:rPr>
          <w:rStyle w:val="FootnoteReference"/>
          <w:rFonts w:ascii="Palatino Linotype" w:hAnsi="Palatino Linotype"/>
        </w:rPr>
        <w:footnoteReference w:id="16"/>
      </w:r>
    </w:p>
    <w:p w14:paraId="531DF5DD" w14:textId="5F625A79" w:rsidR="00F1457B" w:rsidRPr="00A00299" w:rsidRDefault="00F1457B" w:rsidP="00FF0D93">
      <w:pPr>
        <w:spacing w:line="480" w:lineRule="auto"/>
        <w:ind w:left="-90"/>
        <w:rPr>
          <w:rFonts w:ascii="Palatino Linotype" w:hAnsi="Palatino Linotype"/>
        </w:rPr>
      </w:pPr>
      <w:r w:rsidRPr="00A00299">
        <w:rPr>
          <w:rFonts w:ascii="Palatino Linotype" w:hAnsi="Palatino Linotype"/>
        </w:rPr>
        <w:tab/>
      </w:r>
      <w:r w:rsidRPr="00A00299">
        <w:rPr>
          <w:rFonts w:ascii="Palatino Linotype" w:hAnsi="Palatino Linotype"/>
        </w:rPr>
        <w:tab/>
        <w:t xml:space="preserve">Another important consideration in thinking about excluding delusions is how to make sense of the subject’s own reports of belief. What do those with delusions mean when they say they believe the content of the delusions? One possibility is that their assertions are insincere. But this is rather far-fetched.  Often these delusions are disruptive and painful to the subject and those around her. Why would someone pretend to </w:t>
      </w:r>
      <w:r w:rsidR="00045B84">
        <w:rPr>
          <w:rFonts w:ascii="Palatino Linotype" w:hAnsi="Palatino Linotype"/>
        </w:rPr>
        <w:t>have these beliefs</w:t>
      </w:r>
      <w:r w:rsidRPr="00A00299">
        <w:rPr>
          <w:rFonts w:ascii="Palatino Linotype" w:hAnsi="Palatino Linotype"/>
        </w:rPr>
        <w:t>? And again, the reluctance to attribute beliefs in such cases is not usually due to a suspicion that they are not genuinely endorsed, or taken as true. Rather it is the grounds for such endorsement (or lack of grounds) that lead to suspicion about its status as a belief.</w:t>
      </w:r>
      <w:r w:rsidR="00B120DC" w:rsidRPr="00A00299">
        <w:rPr>
          <w:rStyle w:val="FootnoteReference"/>
          <w:rFonts w:ascii="Palatino Linotype" w:hAnsi="Palatino Linotype"/>
        </w:rPr>
        <w:footnoteReference w:id="17"/>
      </w:r>
    </w:p>
    <w:p w14:paraId="02122B1A" w14:textId="5B44E8C8" w:rsidR="004E5A4F" w:rsidRPr="00A00299" w:rsidRDefault="002932EC" w:rsidP="006C43B0">
      <w:pPr>
        <w:spacing w:line="480" w:lineRule="auto"/>
        <w:ind w:firstLine="720"/>
        <w:rPr>
          <w:rFonts w:ascii="Palatino Linotype" w:hAnsi="Palatino Linotype"/>
        </w:rPr>
      </w:pPr>
      <w:r w:rsidRPr="00A00299">
        <w:rPr>
          <w:rFonts w:ascii="Palatino Linotype" w:hAnsi="Palatino Linotype"/>
        </w:rPr>
        <w:t xml:space="preserve">On the model of emotion as a blended state that we are working with emotions include both a kind of </w:t>
      </w:r>
      <w:r w:rsidR="00045B84">
        <w:rPr>
          <w:rFonts w:ascii="Palatino Linotype" w:hAnsi="Palatino Linotype"/>
        </w:rPr>
        <w:t xml:space="preserve">feeling which inclines one to </w:t>
      </w:r>
      <w:r w:rsidRPr="00A00299">
        <w:rPr>
          <w:rFonts w:ascii="Palatino Linotype" w:hAnsi="Palatino Linotype"/>
        </w:rPr>
        <w:t>endorse a state of affairs as actual, as well a more reflective or cognitive endorsement of the feeling.</w:t>
      </w:r>
      <w:r w:rsidR="004B6C9B" w:rsidRPr="00A00299">
        <w:rPr>
          <w:rFonts w:ascii="Palatino Linotype" w:hAnsi="Palatino Linotype"/>
        </w:rPr>
        <w:t xml:space="preserve"> </w:t>
      </w:r>
      <w:r w:rsidRPr="00A00299">
        <w:rPr>
          <w:rFonts w:ascii="Palatino Linotype" w:hAnsi="Palatino Linotype"/>
        </w:rPr>
        <w:t xml:space="preserve">One way to help make sense of </w:t>
      </w:r>
      <w:r w:rsidR="00697960" w:rsidRPr="00A00299">
        <w:rPr>
          <w:rFonts w:ascii="Palatino Linotype" w:hAnsi="Palatino Linotype"/>
        </w:rPr>
        <w:t>delusions</w:t>
      </w:r>
      <w:r w:rsidRPr="00A00299">
        <w:rPr>
          <w:rFonts w:ascii="Palatino Linotype" w:hAnsi="Palatino Linotype"/>
        </w:rPr>
        <w:t xml:space="preserve"> is to think about them as examples of when the cognitive and non-cognitive elements of believing come apart or are </w:t>
      </w:r>
      <w:r w:rsidRPr="00A00299">
        <w:rPr>
          <w:rFonts w:ascii="Palatino Linotype" w:hAnsi="Palatino Linotype"/>
        </w:rPr>
        <w:lastRenderedPageBreak/>
        <w:t xml:space="preserve">not aligned. In such cases, especially when one is attending to other beliefs, like the belief that one’s therapist, family, and friends tell the truth, the delusion’s felt force can be diminished. Or maybe one can concentrate on the evidence opposed to the delusion for some time which can destabilize it. But when attended to, the </w:t>
      </w:r>
      <w:r w:rsidRPr="00A00299">
        <w:rPr>
          <w:rFonts w:ascii="Palatino Linotype" w:hAnsi="Palatino Linotype"/>
          <w:i/>
        </w:rPr>
        <w:t>feeling</w:t>
      </w:r>
      <w:r w:rsidRPr="00A00299">
        <w:rPr>
          <w:rFonts w:ascii="Palatino Linotype" w:hAnsi="Palatino Linotype"/>
        </w:rPr>
        <w:t xml:space="preserve"> of its truth is so strong that it leads one to find evidence in its favor. Given that such a feeling of truth usually occurs when one also has evidence for the belief, it makes sense that one would try to construct a way of providing it with evidential grounds, which is what those with delusions often do.</w:t>
      </w:r>
      <w:r w:rsidR="00BA00C9" w:rsidRPr="00A00299">
        <w:rPr>
          <w:rStyle w:val="FootnoteReference"/>
          <w:rFonts w:ascii="Palatino Linotype" w:hAnsi="Palatino Linotype"/>
        </w:rPr>
        <w:footnoteReference w:id="18"/>
      </w:r>
      <w:r w:rsidRPr="00A00299">
        <w:rPr>
          <w:rFonts w:ascii="Palatino Linotype" w:hAnsi="Palatino Linotype"/>
        </w:rPr>
        <w:t xml:space="preserve"> But given that, in fact, this feeling stems from complex pathological sources, not from good (even if non-evidential) reasons, we have a way of distinguishing these recalcitrant beliefs from others.</w:t>
      </w:r>
    </w:p>
    <w:p w14:paraId="3F6DFC32" w14:textId="2E38A783" w:rsidR="00F1457B" w:rsidRPr="00A00299" w:rsidRDefault="004E5A4F" w:rsidP="00F54A5F">
      <w:pPr>
        <w:spacing w:line="480" w:lineRule="auto"/>
        <w:outlineLvl w:val="0"/>
        <w:rPr>
          <w:rFonts w:ascii="Palatino Linotype" w:hAnsi="Palatino Linotype"/>
          <w:i/>
        </w:rPr>
      </w:pPr>
      <w:r w:rsidRPr="00A00299">
        <w:rPr>
          <w:rFonts w:ascii="Palatino Linotype" w:hAnsi="Palatino Linotype"/>
          <w:i/>
        </w:rPr>
        <w:t>2</w:t>
      </w:r>
      <w:r w:rsidR="00977490" w:rsidRPr="00A00299">
        <w:rPr>
          <w:rFonts w:ascii="Palatino Linotype" w:hAnsi="Palatino Linotype"/>
          <w:i/>
        </w:rPr>
        <w:t>.</w:t>
      </w:r>
      <w:r w:rsidR="006C43B0">
        <w:rPr>
          <w:rFonts w:ascii="Palatino Linotype" w:hAnsi="Palatino Linotype"/>
          <w:i/>
        </w:rPr>
        <w:t>2</w:t>
      </w:r>
      <w:r w:rsidR="00F1457B" w:rsidRPr="00A00299">
        <w:rPr>
          <w:rFonts w:ascii="Palatino Linotype" w:hAnsi="Palatino Linotype"/>
          <w:i/>
        </w:rPr>
        <w:t xml:space="preserve"> Trust</w:t>
      </w:r>
      <w:r w:rsidR="0048128E" w:rsidRPr="00A00299">
        <w:rPr>
          <w:rFonts w:ascii="Palatino Linotype" w:hAnsi="Palatino Linotype"/>
          <w:i/>
        </w:rPr>
        <w:t xml:space="preserve"> and Faith</w:t>
      </w:r>
    </w:p>
    <w:p w14:paraId="25416BF9" w14:textId="1ED87A94" w:rsidR="007154F1" w:rsidRPr="00A00299" w:rsidRDefault="00FE62B0" w:rsidP="002C4DFB">
      <w:pPr>
        <w:spacing w:line="480" w:lineRule="auto"/>
        <w:outlineLvl w:val="0"/>
        <w:rPr>
          <w:rFonts w:ascii="Palatino Linotype" w:hAnsi="Palatino Linotype"/>
          <w:iCs/>
        </w:rPr>
      </w:pPr>
      <w:r w:rsidRPr="00A00299">
        <w:rPr>
          <w:rFonts w:ascii="Palatino Linotype" w:hAnsi="Palatino Linotype"/>
          <w:iCs/>
        </w:rPr>
        <w:t xml:space="preserve">We have </w:t>
      </w:r>
      <w:r w:rsidR="00B71A5B" w:rsidRPr="00A00299">
        <w:rPr>
          <w:rFonts w:ascii="Palatino Linotype" w:hAnsi="Palatino Linotype"/>
          <w:iCs/>
        </w:rPr>
        <w:t xml:space="preserve">seen that </w:t>
      </w:r>
      <w:r w:rsidRPr="00A00299">
        <w:rPr>
          <w:rFonts w:ascii="Palatino Linotype" w:hAnsi="Palatino Linotype"/>
          <w:iCs/>
        </w:rPr>
        <w:t>the cri</w:t>
      </w:r>
      <w:r w:rsidR="00B71A5B" w:rsidRPr="00A00299">
        <w:rPr>
          <w:rFonts w:ascii="Palatino Linotype" w:hAnsi="Palatino Linotype"/>
          <w:iCs/>
        </w:rPr>
        <w:t>teria</w:t>
      </w:r>
      <w:r w:rsidRPr="00A00299">
        <w:rPr>
          <w:rFonts w:ascii="Palatino Linotype" w:hAnsi="Palatino Linotype"/>
          <w:iCs/>
        </w:rPr>
        <w:t xml:space="preserve"> appealed </w:t>
      </w:r>
      <w:r w:rsidR="00B71A5B" w:rsidRPr="00A00299">
        <w:rPr>
          <w:rFonts w:ascii="Palatino Linotype" w:hAnsi="Palatino Linotype"/>
          <w:iCs/>
        </w:rPr>
        <w:t xml:space="preserve">in the cognitivist view is at risk of excluding too many </w:t>
      </w:r>
      <w:r w:rsidRPr="00A00299">
        <w:rPr>
          <w:rFonts w:ascii="Palatino Linotype" w:hAnsi="Palatino Linotype"/>
          <w:iCs/>
        </w:rPr>
        <w:t>irrational bel</w:t>
      </w:r>
      <w:r w:rsidR="00B71A5B" w:rsidRPr="00A00299">
        <w:rPr>
          <w:rFonts w:ascii="Palatino Linotype" w:hAnsi="Palatino Linotype"/>
          <w:iCs/>
        </w:rPr>
        <w:t xml:space="preserve">iefs as </w:t>
      </w:r>
      <w:r w:rsidR="00CF3573" w:rsidRPr="00A00299">
        <w:rPr>
          <w:rFonts w:ascii="Palatino Linotype" w:hAnsi="Palatino Linotype"/>
          <w:iCs/>
        </w:rPr>
        <w:t>being actual beliefs</w:t>
      </w:r>
      <w:r w:rsidRPr="00A00299">
        <w:rPr>
          <w:rFonts w:ascii="Palatino Linotype" w:hAnsi="Palatino Linotype"/>
          <w:iCs/>
        </w:rPr>
        <w:t xml:space="preserve">. This consideration has been pointed out by others </w:t>
      </w:r>
      <w:r w:rsidR="00CF3573" w:rsidRPr="00A00299">
        <w:rPr>
          <w:rFonts w:ascii="Palatino Linotype" w:hAnsi="Palatino Linotype"/>
          <w:iCs/>
        </w:rPr>
        <w:t xml:space="preserve">arguing for the inclusion of these problematic states. </w:t>
      </w:r>
      <w:r w:rsidR="00CF3573" w:rsidRPr="00A00299">
        <w:rPr>
          <w:rFonts w:ascii="Palatino Linotype" w:hAnsi="Palatino Linotype"/>
        </w:rPr>
        <w:t xml:space="preserve">Huddleston (2012) and </w:t>
      </w:r>
      <w:proofErr w:type="spellStart"/>
      <w:r w:rsidR="00CF3573" w:rsidRPr="00A00299">
        <w:rPr>
          <w:rFonts w:ascii="Palatino Linotype" w:hAnsi="Palatino Linotype"/>
        </w:rPr>
        <w:t>Viedge</w:t>
      </w:r>
      <w:proofErr w:type="spellEnd"/>
      <w:r w:rsidR="00CF3573" w:rsidRPr="00A00299">
        <w:rPr>
          <w:rFonts w:ascii="Palatino Linotype" w:hAnsi="Palatino Linotype"/>
        </w:rPr>
        <w:t xml:space="preserve"> (2016), for example argue, as I have, that is important to have a wide enough conception of belief so that irrational beliefs can be exposed and rationally assessed. Those who exclude them as beliefs “let </w:t>
      </w:r>
      <w:r w:rsidR="00CF3573" w:rsidRPr="00A00299">
        <w:rPr>
          <w:rFonts w:ascii="Palatino Linotype" w:hAnsi="Palatino Linotype"/>
        </w:rPr>
        <w:lastRenderedPageBreak/>
        <w:t xml:space="preserve">these states off the hook”  (Huddleston, 217). </w:t>
      </w:r>
      <w:r w:rsidR="00CF3573" w:rsidRPr="00A00299">
        <w:rPr>
          <w:rStyle w:val="FootnoteReference"/>
          <w:rFonts w:ascii="Palatino Linotype" w:hAnsi="Palatino Linotype"/>
          <w:iCs/>
        </w:rPr>
        <w:footnoteReference w:id="19"/>
      </w:r>
      <w:r w:rsidR="00CF3573" w:rsidRPr="00A00299">
        <w:rPr>
          <w:rFonts w:ascii="Palatino Linotype" w:hAnsi="Palatino Linotype"/>
        </w:rPr>
        <w:t xml:space="preserve"> </w:t>
      </w:r>
      <w:r w:rsidRPr="00A00299">
        <w:rPr>
          <w:rFonts w:ascii="Palatino Linotype" w:hAnsi="Palatino Linotype"/>
          <w:iCs/>
        </w:rPr>
        <w:t>But</w:t>
      </w:r>
      <w:r w:rsidR="00B41994">
        <w:rPr>
          <w:rFonts w:ascii="Palatino Linotype" w:hAnsi="Palatino Linotype"/>
          <w:iCs/>
        </w:rPr>
        <w:t xml:space="preserve"> it</w:t>
      </w:r>
      <w:r w:rsidRPr="00A00299">
        <w:rPr>
          <w:rFonts w:ascii="Palatino Linotype" w:hAnsi="Palatino Linotype"/>
          <w:iCs/>
        </w:rPr>
        <w:t xml:space="preserve"> is also the case that some of these states are not </w:t>
      </w:r>
      <w:r w:rsidR="00CF3573" w:rsidRPr="00A00299">
        <w:rPr>
          <w:rFonts w:ascii="Palatino Linotype" w:hAnsi="Palatino Linotype"/>
          <w:iCs/>
        </w:rPr>
        <w:t>obviously flawed</w:t>
      </w:r>
      <w:r w:rsidRPr="00A00299">
        <w:rPr>
          <w:rFonts w:ascii="Palatino Linotype" w:hAnsi="Palatino Linotype"/>
          <w:iCs/>
        </w:rPr>
        <w:t xml:space="preserve"> o</w:t>
      </w:r>
      <w:r w:rsidR="00CF3573" w:rsidRPr="00A00299">
        <w:rPr>
          <w:rFonts w:ascii="Palatino Linotype" w:hAnsi="Palatino Linotype"/>
          <w:iCs/>
        </w:rPr>
        <w:t>r</w:t>
      </w:r>
      <w:r w:rsidRPr="00A00299">
        <w:rPr>
          <w:rFonts w:ascii="Palatino Linotype" w:hAnsi="Palatino Linotype"/>
          <w:iCs/>
        </w:rPr>
        <w:t xml:space="preserve"> irrational, and so another reason to think of beliefs as emotions is that it allows for the norms governing belief to be more ex</w:t>
      </w:r>
      <w:r w:rsidR="00CF3573" w:rsidRPr="00A00299">
        <w:rPr>
          <w:rFonts w:ascii="Palatino Linotype" w:hAnsi="Palatino Linotype"/>
          <w:iCs/>
        </w:rPr>
        <w:t>p</w:t>
      </w:r>
      <w:r w:rsidRPr="00A00299">
        <w:rPr>
          <w:rFonts w:ascii="Palatino Linotype" w:hAnsi="Palatino Linotype"/>
          <w:iCs/>
        </w:rPr>
        <w:t>ansive and</w:t>
      </w:r>
      <w:r w:rsidR="00CF3573" w:rsidRPr="00A00299">
        <w:rPr>
          <w:rFonts w:ascii="Palatino Linotype" w:hAnsi="Palatino Linotype"/>
          <w:iCs/>
        </w:rPr>
        <w:t xml:space="preserve"> offers a</w:t>
      </w:r>
      <w:r w:rsidR="009B4A25">
        <w:rPr>
          <w:rFonts w:ascii="Palatino Linotype" w:hAnsi="Palatino Linotype"/>
          <w:iCs/>
        </w:rPr>
        <w:t xml:space="preserve"> </w:t>
      </w:r>
      <w:r w:rsidRPr="00A00299">
        <w:rPr>
          <w:rFonts w:ascii="Palatino Linotype" w:hAnsi="Palatino Linotype"/>
          <w:iCs/>
        </w:rPr>
        <w:t>way of dist</w:t>
      </w:r>
      <w:r w:rsidR="00CF3573" w:rsidRPr="00A00299">
        <w:rPr>
          <w:rFonts w:ascii="Palatino Linotype" w:hAnsi="Palatino Linotype"/>
          <w:iCs/>
        </w:rPr>
        <w:t xml:space="preserve">inguishing </w:t>
      </w:r>
      <w:r w:rsidRPr="00A00299">
        <w:rPr>
          <w:rFonts w:ascii="Palatino Linotype" w:hAnsi="Palatino Linotype"/>
          <w:iCs/>
        </w:rPr>
        <w:t xml:space="preserve"> between irrational </w:t>
      </w:r>
      <w:r w:rsidR="00CF3573" w:rsidRPr="00A00299">
        <w:rPr>
          <w:rFonts w:ascii="Palatino Linotype" w:hAnsi="Palatino Linotype"/>
          <w:iCs/>
        </w:rPr>
        <w:t>evidence-resistant beliefs</w:t>
      </w:r>
      <w:r w:rsidRPr="00A00299">
        <w:rPr>
          <w:rFonts w:ascii="Palatino Linotype" w:hAnsi="Palatino Linotype"/>
          <w:iCs/>
        </w:rPr>
        <w:t xml:space="preserve"> and ones that are not irrational. </w:t>
      </w:r>
      <w:r w:rsidR="00CF3573" w:rsidRPr="00A00299">
        <w:rPr>
          <w:rFonts w:ascii="Palatino Linotype" w:hAnsi="Palatino Linotype"/>
          <w:iCs/>
        </w:rPr>
        <w:t xml:space="preserve"> </w:t>
      </w:r>
      <w:r w:rsidR="002C4DFB" w:rsidRPr="00A00299">
        <w:rPr>
          <w:rFonts w:ascii="Palatino Linotype" w:hAnsi="Palatino Linotype"/>
          <w:iCs/>
        </w:rPr>
        <w:t xml:space="preserve">Another class of beliefs that some argue are not </w:t>
      </w:r>
      <w:r w:rsidR="002C4DFB" w:rsidRPr="00A00299">
        <w:rPr>
          <w:rFonts w:ascii="Palatino Linotype" w:hAnsi="Palatino Linotype"/>
          <w:i/>
        </w:rPr>
        <w:t xml:space="preserve">really </w:t>
      </w:r>
      <w:r w:rsidR="002C4DFB" w:rsidRPr="00A00299">
        <w:rPr>
          <w:rFonts w:ascii="Palatino Linotype" w:hAnsi="Palatino Linotype"/>
          <w:iCs/>
        </w:rPr>
        <w:t xml:space="preserve">beliefs are </w:t>
      </w:r>
      <w:r w:rsidR="00CF3573" w:rsidRPr="00A00299">
        <w:rPr>
          <w:rFonts w:ascii="Palatino Linotype" w:hAnsi="Palatino Linotype"/>
          <w:iCs/>
        </w:rPr>
        <w:t xml:space="preserve">ones </w:t>
      </w:r>
      <w:r w:rsidR="002C4DFB" w:rsidRPr="00A00299">
        <w:rPr>
          <w:rFonts w:ascii="Palatino Linotype" w:hAnsi="Palatino Linotype"/>
          <w:iCs/>
        </w:rPr>
        <w:t>bases on trust, and religious beliefs</w:t>
      </w:r>
      <w:r w:rsidR="00CF3573" w:rsidRPr="00A00299">
        <w:rPr>
          <w:rFonts w:ascii="Palatino Linotype" w:hAnsi="Palatino Linotype"/>
          <w:iCs/>
        </w:rPr>
        <w:t>, but at least some of these seem importantly different from delusions and other irrational recalcitrant beliefs.</w:t>
      </w:r>
      <w:r w:rsidR="002C4DFB" w:rsidRPr="00A00299">
        <w:rPr>
          <w:rFonts w:ascii="Palatino Linotype" w:hAnsi="Palatino Linotype"/>
          <w:iCs/>
        </w:rPr>
        <w:t xml:space="preserve"> </w:t>
      </w:r>
      <w:r w:rsidR="007154F1" w:rsidRPr="00A00299">
        <w:rPr>
          <w:rFonts w:ascii="Palatino Linotype" w:hAnsi="Palatino Linotype"/>
          <w:iCs/>
        </w:rPr>
        <w:t xml:space="preserve">Consider the following example: </w:t>
      </w:r>
    </w:p>
    <w:p w14:paraId="04B76C6B" w14:textId="26CD38A5" w:rsidR="007154F1" w:rsidRPr="00A00299" w:rsidRDefault="007154F1" w:rsidP="007154F1">
      <w:pPr>
        <w:widowControl w:val="0"/>
        <w:autoSpaceDE w:val="0"/>
        <w:autoSpaceDN w:val="0"/>
        <w:adjustRightInd w:val="0"/>
        <w:rPr>
          <w:rFonts w:ascii="Palatino Linotype" w:hAnsi="Palatino Linotype" w:cs="Times New Roman"/>
        </w:rPr>
      </w:pPr>
      <w:r w:rsidRPr="00A00299">
        <w:rPr>
          <w:rFonts w:ascii="Palatino Linotype" w:hAnsi="Palatino Linotype" w:cs="Times New Roman"/>
        </w:rPr>
        <w:t>Suppose that your lover has been unfaithful to you. But suppose also that he or she is contrite and repenting and makes a reasonable case that it will not happen again. For instance, your lover was cunningly seduced when he or she succumbed to temptation, or there are some mitigating circumstances. You are seriously considering whether you can see past the betrayal. As you are discussing reconciliation, your lover says to you, “I will be faithful to you, I promise” and thereby sincerely and resolutely expresses his or her commitment</w:t>
      </w:r>
      <w:r w:rsidRPr="00A00299">
        <w:rPr>
          <w:rFonts w:ascii="Palatino Linotype" w:hAnsi="Palatino Linotype"/>
        </w:rPr>
        <w:t xml:space="preserve"> (</w:t>
      </w:r>
      <w:proofErr w:type="spellStart"/>
      <w:r w:rsidRPr="00A00299">
        <w:rPr>
          <w:rFonts w:ascii="Palatino Linotype" w:hAnsi="Palatino Linotype"/>
        </w:rPr>
        <w:t>Maruši</w:t>
      </w:r>
      <w:r w:rsidRPr="00A00299">
        <w:rPr>
          <w:rFonts w:ascii="Palatino Linotype" w:hAnsi="Palatino Linotype" w:cs="Times New Roman"/>
        </w:rPr>
        <w:t>ć</w:t>
      </w:r>
      <w:proofErr w:type="spellEnd"/>
      <w:r w:rsidRPr="00A00299">
        <w:rPr>
          <w:rFonts w:ascii="Palatino Linotype" w:hAnsi="Palatino Linotype" w:cs="Times New Roman"/>
        </w:rPr>
        <w:t xml:space="preserve">  2015: 264-65). After this statement you form the belief that your lover will keep </w:t>
      </w:r>
      <w:r w:rsidR="00EA464E">
        <w:rPr>
          <w:rFonts w:ascii="Palatino Linotype" w:hAnsi="Palatino Linotype" w:cs="Times New Roman"/>
        </w:rPr>
        <w:t xml:space="preserve">their </w:t>
      </w:r>
      <w:r w:rsidRPr="00A00299">
        <w:rPr>
          <w:rFonts w:ascii="Palatino Linotype" w:hAnsi="Palatino Linotype" w:cs="Times New Roman"/>
        </w:rPr>
        <w:t>word.</w:t>
      </w:r>
    </w:p>
    <w:p w14:paraId="7970ECFE" w14:textId="328D399B" w:rsidR="00F1457B" w:rsidRPr="00A00299" w:rsidRDefault="007154F1" w:rsidP="002C4DFB">
      <w:pPr>
        <w:spacing w:line="480" w:lineRule="auto"/>
        <w:ind w:firstLine="720"/>
        <w:rPr>
          <w:rFonts w:ascii="Palatino Linotype" w:hAnsi="Palatino Linotype"/>
        </w:rPr>
      </w:pPr>
      <w:r w:rsidRPr="00A00299">
        <w:rPr>
          <w:rFonts w:ascii="Palatino Linotype" w:hAnsi="Palatino Linotype"/>
        </w:rPr>
        <w:t xml:space="preserve">If in such a case </w:t>
      </w:r>
      <w:r w:rsidR="00F63108" w:rsidRPr="00A00299">
        <w:rPr>
          <w:rFonts w:ascii="Palatino Linotype" w:hAnsi="Palatino Linotype"/>
        </w:rPr>
        <w:t xml:space="preserve">if </w:t>
      </w:r>
      <w:r w:rsidRPr="00A00299">
        <w:rPr>
          <w:rFonts w:ascii="Palatino Linotype" w:hAnsi="Palatino Linotype"/>
        </w:rPr>
        <w:t>you do believe, you are believing even while recognizing clear evidence against your belief. When I trust you</w:t>
      </w:r>
      <w:r w:rsidR="002C4DFB" w:rsidRPr="00A00299">
        <w:rPr>
          <w:rFonts w:ascii="Palatino Linotype" w:hAnsi="Palatino Linotype"/>
        </w:rPr>
        <w:t>,</w:t>
      </w:r>
      <w:r w:rsidRPr="00A00299">
        <w:rPr>
          <w:rFonts w:ascii="Palatino Linotype" w:hAnsi="Palatino Linotype"/>
        </w:rPr>
        <w:t xml:space="preserve"> must I also believe that you will do what I trust you will do? </w:t>
      </w:r>
      <w:r w:rsidR="00F1457B" w:rsidRPr="00A00299">
        <w:rPr>
          <w:rFonts w:ascii="Palatino Linotype" w:hAnsi="Palatino Linotype"/>
        </w:rPr>
        <w:t xml:space="preserve">In discussions about the nature of trust, a distinction is usually made between mere reliance and trust. I can rely on something or someone if I accept for purposes of planning that the person or thing will behave as I expect.  I can rely on my car not breaking down just as I can rely on my colleague to print out the handouts. But reliance can come </w:t>
      </w:r>
      <w:r w:rsidR="00F1457B" w:rsidRPr="00A00299">
        <w:rPr>
          <w:rFonts w:ascii="Palatino Linotype" w:hAnsi="Palatino Linotype"/>
        </w:rPr>
        <w:lastRenderedPageBreak/>
        <w:t xml:space="preserve">without belief, especially when the situation doesn’t leave much room for options; and in those situations one can, quite directly, </w:t>
      </w:r>
      <w:r w:rsidR="00F1457B" w:rsidRPr="00A00299">
        <w:rPr>
          <w:rFonts w:ascii="Palatino Linotype" w:hAnsi="Palatino Linotype"/>
          <w:i/>
        </w:rPr>
        <w:t>choose</w:t>
      </w:r>
      <w:r w:rsidR="00F1457B" w:rsidRPr="00A00299">
        <w:rPr>
          <w:rFonts w:ascii="Palatino Linotype" w:hAnsi="Palatino Linotype"/>
        </w:rPr>
        <w:t xml:space="preserve"> to rely. Even if I have doubts about my car’s capacity to make the trip, if I have </w:t>
      </w:r>
      <w:r w:rsidR="007107B5" w:rsidRPr="00A00299">
        <w:rPr>
          <w:rFonts w:ascii="Palatino Linotype" w:hAnsi="Palatino Linotype"/>
        </w:rPr>
        <w:t xml:space="preserve">a </w:t>
      </w:r>
      <w:r w:rsidR="00F1457B" w:rsidRPr="00A00299">
        <w:rPr>
          <w:rFonts w:ascii="Palatino Linotype" w:hAnsi="Palatino Linotype"/>
        </w:rPr>
        <w:t xml:space="preserve">crucial meeting I need make, I can choose to rely on the car even while being a little anxious the whole way.  If I have a lot of positive evidence that my car will </w:t>
      </w:r>
      <w:r w:rsidR="00F1457B" w:rsidRPr="00A00299">
        <w:rPr>
          <w:rFonts w:ascii="Palatino Linotype" w:hAnsi="Palatino Linotype"/>
          <w:i/>
        </w:rPr>
        <w:t xml:space="preserve">not </w:t>
      </w:r>
      <w:r w:rsidR="00F1457B" w:rsidRPr="00A00299">
        <w:rPr>
          <w:rFonts w:ascii="Palatino Linotype" w:hAnsi="Palatino Linotype"/>
        </w:rPr>
        <w:t xml:space="preserve">make it, however, it doesn’t seem that I could rely on it by accepting for the sake of planning; I would have to make contingency plans in case it did not make it, for example. </w:t>
      </w:r>
    </w:p>
    <w:p w14:paraId="7C40BC83" w14:textId="77777777" w:rsidR="00F1457B" w:rsidRPr="00A00299" w:rsidRDefault="00F1457B" w:rsidP="00FF0D93">
      <w:pPr>
        <w:spacing w:line="480" w:lineRule="auto"/>
        <w:ind w:left="-90"/>
        <w:rPr>
          <w:rFonts w:ascii="Palatino Linotype" w:hAnsi="Palatino Linotype"/>
        </w:rPr>
      </w:pPr>
      <w:r w:rsidRPr="00A00299">
        <w:rPr>
          <w:rFonts w:ascii="Palatino Linotype" w:hAnsi="Palatino Linotype"/>
        </w:rPr>
        <w:tab/>
      </w:r>
      <w:r w:rsidRPr="00A00299">
        <w:rPr>
          <w:rFonts w:ascii="Palatino Linotype" w:hAnsi="Palatino Linotype"/>
        </w:rPr>
        <w:tab/>
        <w:t xml:space="preserve">If my colleague always prints out the handouts I may </w:t>
      </w:r>
      <w:r w:rsidRPr="00A00299">
        <w:rPr>
          <w:rFonts w:ascii="Palatino Linotype" w:hAnsi="Palatino Linotype"/>
          <w:i/>
        </w:rPr>
        <w:t xml:space="preserve">rely </w:t>
      </w:r>
      <w:r w:rsidRPr="00A00299">
        <w:rPr>
          <w:rFonts w:ascii="Palatino Linotype" w:hAnsi="Palatino Linotype"/>
        </w:rPr>
        <w:t xml:space="preserve">on the fact that he will in a way that does not constitute trusting that he will. If I actually trust him to do it, this comes along with reactive attitudes that are not present in mere reliance. If I am merely relying on him to make the copies because this is the usual state of affairs, I would not be betrayed if he failed to do so. And if I find myself irritated for his not doing it, this is a flaw in me, not him. It is because failures in cases of trust </w:t>
      </w:r>
      <w:r w:rsidRPr="00A00299">
        <w:rPr>
          <w:rFonts w:ascii="Palatino Linotype" w:hAnsi="Palatino Linotype"/>
          <w:i/>
        </w:rPr>
        <w:t>do</w:t>
      </w:r>
      <w:r w:rsidRPr="00A00299">
        <w:rPr>
          <w:rFonts w:ascii="Palatino Linotype" w:hAnsi="Palatino Linotype"/>
        </w:rPr>
        <w:t xml:space="preserve"> constitute grounds for attitudes like resentment and anger, that one can only trust people and not objects.   </w:t>
      </w:r>
    </w:p>
    <w:p w14:paraId="5A8CF1B0" w14:textId="6BC0E713" w:rsidR="00F1457B" w:rsidRPr="00A00299" w:rsidRDefault="00F1457B" w:rsidP="00FF0D93">
      <w:pPr>
        <w:spacing w:line="480" w:lineRule="auto"/>
        <w:ind w:left="-90"/>
        <w:rPr>
          <w:rFonts w:ascii="Palatino Linotype" w:hAnsi="Palatino Linotype"/>
        </w:rPr>
      </w:pPr>
      <w:r w:rsidRPr="00A00299">
        <w:rPr>
          <w:rFonts w:ascii="Palatino Linotype" w:hAnsi="Palatino Linotype"/>
        </w:rPr>
        <w:tab/>
      </w:r>
      <w:r w:rsidRPr="00A00299">
        <w:rPr>
          <w:rFonts w:ascii="Palatino Linotype" w:hAnsi="Palatino Linotype"/>
        </w:rPr>
        <w:tab/>
        <w:t xml:space="preserve"> What then are grounds, or reasons for trusting?  Well, part of it is evidential, just as in the case of reliance. If I know someone well and come to see that he can be counted on, keep his word</w:t>
      </w:r>
      <w:r w:rsidR="00674DFC" w:rsidRPr="00A00299">
        <w:rPr>
          <w:rFonts w:ascii="Palatino Linotype" w:hAnsi="Palatino Linotype"/>
        </w:rPr>
        <w:t>,</w:t>
      </w:r>
      <w:r w:rsidRPr="00A00299">
        <w:rPr>
          <w:rFonts w:ascii="Palatino Linotype" w:hAnsi="Palatino Linotype"/>
        </w:rPr>
        <w:t xml:space="preserve"> </w:t>
      </w:r>
      <w:r w:rsidRPr="00A00299">
        <w:rPr>
          <w:rFonts w:ascii="Palatino Linotype" w:hAnsi="Palatino Linotype"/>
          <w:i/>
        </w:rPr>
        <w:t>etc</w:t>
      </w:r>
      <w:r w:rsidRPr="00A00299">
        <w:rPr>
          <w:rFonts w:ascii="Palatino Linotype" w:hAnsi="Palatino Linotype"/>
        </w:rPr>
        <w:t xml:space="preserve">., these are evidential reasons to trust him. But trust does not only come about from a careful weighing of the evidence; </w:t>
      </w:r>
      <w:r w:rsidRPr="00A00299">
        <w:rPr>
          <w:rFonts w:ascii="Palatino Linotype" w:hAnsi="Palatino Linotype"/>
        </w:rPr>
        <w:lastRenderedPageBreak/>
        <w:t xml:space="preserve">at least some of the reasons for trusting are non-evidential. I trust you because you are my friend or because our relationship requires that I do, or because I love you. </w:t>
      </w:r>
      <w:r w:rsidR="004E5A4F" w:rsidRPr="00A00299">
        <w:rPr>
          <w:rFonts w:ascii="Palatino Linotype" w:hAnsi="Palatino Linotype"/>
        </w:rPr>
        <w:t>Thinking about the example above, t</w:t>
      </w:r>
      <w:r w:rsidRPr="00A00299">
        <w:rPr>
          <w:rFonts w:ascii="Palatino Linotype" w:hAnsi="Palatino Linotype"/>
        </w:rPr>
        <w:t>here is a difference, for example, between someone assessing the odds and deciding that it is wo</w:t>
      </w:r>
      <w:r w:rsidR="004E5A4F" w:rsidRPr="00A00299">
        <w:rPr>
          <w:rFonts w:ascii="Palatino Linotype" w:hAnsi="Palatino Linotype"/>
        </w:rPr>
        <w:t>rth betting on whether your lover will keep their</w:t>
      </w:r>
      <w:r w:rsidRPr="00A00299">
        <w:rPr>
          <w:rFonts w:ascii="Palatino Linotype" w:hAnsi="Palatino Linotype"/>
        </w:rPr>
        <w:t xml:space="preserve"> word, and </w:t>
      </w:r>
      <w:r w:rsidR="004E5A4F" w:rsidRPr="00A00299">
        <w:rPr>
          <w:rFonts w:ascii="Palatino Linotype" w:hAnsi="Palatino Linotype"/>
          <w:i/>
        </w:rPr>
        <w:t>you</w:t>
      </w:r>
      <w:r w:rsidRPr="00A00299">
        <w:rPr>
          <w:rFonts w:ascii="Palatino Linotype" w:hAnsi="Palatino Linotype"/>
          <w:i/>
        </w:rPr>
        <w:t xml:space="preserve"> </w:t>
      </w:r>
      <w:r w:rsidRPr="00A00299">
        <w:rPr>
          <w:rFonts w:ascii="Palatino Linotype" w:hAnsi="Palatino Linotype"/>
        </w:rPr>
        <w:t xml:space="preserve">trusting </w:t>
      </w:r>
      <w:r w:rsidR="004E5A4F" w:rsidRPr="00A00299">
        <w:rPr>
          <w:rFonts w:ascii="Palatino Linotype" w:hAnsi="Palatino Linotype"/>
        </w:rPr>
        <w:t xml:space="preserve">them to keep their </w:t>
      </w:r>
      <w:r w:rsidRPr="00A00299">
        <w:rPr>
          <w:rFonts w:ascii="Palatino Linotype" w:hAnsi="Palatino Linotype"/>
        </w:rPr>
        <w:t>word.</w:t>
      </w:r>
      <w:r w:rsidRPr="00A00299">
        <w:rPr>
          <w:rStyle w:val="FootnoteReference"/>
          <w:rFonts w:ascii="Palatino Linotype" w:hAnsi="Palatino Linotype"/>
        </w:rPr>
        <w:footnoteReference w:id="20"/>
      </w:r>
      <w:r w:rsidR="00674DFC" w:rsidRPr="00A00299">
        <w:rPr>
          <w:rFonts w:ascii="Palatino Linotype" w:hAnsi="Palatino Linotype"/>
        </w:rPr>
        <w:t xml:space="preserve"> And it is not clear</w:t>
      </w:r>
      <w:r w:rsidRPr="00A00299">
        <w:rPr>
          <w:rFonts w:ascii="Palatino Linotype" w:hAnsi="Palatino Linotype"/>
        </w:rPr>
        <w:t xml:space="preserve">, in certain contexts, that the right grounds for trusting are the evidential grounds.  As Sarah Stroud (2006) has argued, the demands of friendship may actually require that I do not base my beliefs only on the evidence.  </w:t>
      </w:r>
    </w:p>
    <w:p w14:paraId="43ECED8F" w14:textId="626BF139" w:rsidR="00F1457B" w:rsidRPr="00A00299" w:rsidRDefault="00F1457B" w:rsidP="002C4DFB">
      <w:pPr>
        <w:spacing w:line="480" w:lineRule="auto"/>
        <w:ind w:left="-90"/>
        <w:rPr>
          <w:rFonts w:ascii="Palatino Linotype" w:hAnsi="Palatino Linotype" w:cs="Times New Roman"/>
        </w:rPr>
      </w:pPr>
      <w:r w:rsidRPr="00A00299">
        <w:rPr>
          <w:rFonts w:ascii="Palatino Linotype" w:hAnsi="Palatino Linotype"/>
        </w:rPr>
        <w:tab/>
      </w:r>
      <w:r w:rsidRPr="00A00299">
        <w:rPr>
          <w:rFonts w:ascii="Palatino Linotype" w:hAnsi="Palatino Linotype"/>
        </w:rPr>
        <w:tab/>
        <w:t xml:space="preserve">In some recent discussions of trust, a distinction is made between trusting when there is enough positive evidence to warrant believing the person is </w:t>
      </w:r>
      <w:r w:rsidRPr="00A00299">
        <w:rPr>
          <w:rFonts w:ascii="Palatino Linotype" w:hAnsi="Palatino Linotype"/>
          <w:i/>
        </w:rPr>
        <w:t xml:space="preserve">not </w:t>
      </w:r>
      <w:r w:rsidRPr="00A00299">
        <w:rPr>
          <w:rFonts w:ascii="Palatino Linotype" w:hAnsi="Palatino Linotype"/>
        </w:rPr>
        <w:t>trustworthy and when the evidence is absent or inconclusive.  Something is wrong about trusting in the first case whereas trusting i</w:t>
      </w:r>
      <w:r w:rsidR="00064E4E" w:rsidRPr="00A00299">
        <w:rPr>
          <w:rFonts w:ascii="Palatino Linotype" w:hAnsi="Palatino Linotype"/>
        </w:rPr>
        <w:t xml:space="preserve">n the second case </w:t>
      </w:r>
      <w:r w:rsidR="00A07381" w:rsidRPr="00A00299">
        <w:rPr>
          <w:rFonts w:ascii="Palatino Linotype" w:hAnsi="Palatino Linotype"/>
        </w:rPr>
        <w:t>is</w:t>
      </w:r>
      <w:r w:rsidR="00064E4E" w:rsidRPr="00A00299">
        <w:rPr>
          <w:rFonts w:ascii="Palatino Linotype" w:hAnsi="Palatino Linotype"/>
        </w:rPr>
        <w:t xml:space="preserve"> </w:t>
      </w:r>
      <w:r w:rsidRPr="00A00299">
        <w:rPr>
          <w:rFonts w:ascii="Palatino Linotype" w:hAnsi="Palatino Linotype"/>
        </w:rPr>
        <w:t>less problematic</w:t>
      </w:r>
      <w:r w:rsidR="00470D20" w:rsidRPr="00A00299">
        <w:rPr>
          <w:rFonts w:ascii="Palatino Linotype" w:hAnsi="Palatino Linotype"/>
        </w:rPr>
        <w:t>.</w:t>
      </w:r>
      <w:r w:rsidRPr="00A00299">
        <w:rPr>
          <w:rStyle w:val="FootnoteReference"/>
          <w:rFonts w:ascii="Palatino Linotype" w:hAnsi="Palatino Linotype"/>
        </w:rPr>
        <w:footnoteReference w:id="21"/>
      </w:r>
      <w:r w:rsidRPr="00A00299">
        <w:rPr>
          <w:rFonts w:ascii="Palatino Linotype" w:hAnsi="Palatino Linotype"/>
        </w:rPr>
        <w:t xml:space="preserve">  In those cases, trusting for non-evidential reasons seems </w:t>
      </w:r>
      <w:r w:rsidR="004E5A4F" w:rsidRPr="00A00299">
        <w:rPr>
          <w:rFonts w:ascii="Palatino Linotype" w:hAnsi="Palatino Linotype"/>
        </w:rPr>
        <w:t>warranted</w:t>
      </w:r>
      <w:r w:rsidRPr="00A00299">
        <w:rPr>
          <w:rFonts w:ascii="Palatino Linotype" w:hAnsi="Palatino Linotype"/>
        </w:rPr>
        <w:t xml:space="preserve">. </w:t>
      </w:r>
      <w:r w:rsidR="007C7EAF" w:rsidRPr="00A00299">
        <w:rPr>
          <w:rFonts w:ascii="Palatino Linotype" w:hAnsi="Palatino Linotype"/>
        </w:rPr>
        <w:t>W</w:t>
      </w:r>
      <w:r w:rsidRPr="00A00299">
        <w:rPr>
          <w:rFonts w:ascii="Palatino Linotype" w:hAnsi="Palatino Linotype"/>
        </w:rPr>
        <w:t>hen one has important non-evidential reasons to believe one’s friend is trustworthy and there is not overwhelming evidence against it, it is not</w:t>
      </w:r>
      <w:r w:rsidR="006B13D7" w:rsidRPr="00A00299">
        <w:rPr>
          <w:rFonts w:ascii="Palatino Linotype" w:hAnsi="Palatino Linotype"/>
        </w:rPr>
        <w:t xml:space="preserve"> clear</w:t>
      </w:r>
      <w:r w:rsidRPr="00A00299">
        <w:rPr>
          <w:rFonts w:ascii="Palatino Linotype" w:hAnsi="Palatino Linotype"/>
        </w:rPr>
        <w:t xml:space="preserve"> that there is anything wrong with believing it. </w:t>
      </w:r>
    </w:p>
    <w:p w14:paraId="53A5A950" w14:textId="74DDA81A" w:rsidR="007154F1" w:rsidRPr="00A00299" w:rsidRDefault="00F1457B" w:rsidP="002C4DFB">
      <w:pPr>
        <w:widowControl w:val="0"/>
        <w:autoSpaceDE w:val="0"/>
        <w:autoSpaceDN w:val="0"/>
        <w:adjustRightInd w:val="0"/>
        <w:spacing w:line="480" w:lineRule="auto"/>
        <w:rPr>
          <w:rFonts w:ascii="Palatino Linotype" w:hAnsi="Palatino Linotype"/>
        </w:rPr>
      </w:pPr>
      <w:r w:rsidRPr="00A00299">
        <w:rPr>
          <w:rFonts w:ascii="Palatino Linotype" w:hAnsi="Palatino Linotype" w:cs="Times New Roman"/>
          <w:sz w:val="26"/>
          <w:szCs w:val="26"/>
        </w:rPr>
        <w:tab/>
      </w:r>
      <w:r w:rsidR="002C4DFB" w:rsidRPr="00A00299">
        <w:rPr>
          <w:rFonts w:ascii="Palatino Linotype" w:hAnsi="Palatino Linotype"/>
        </w:rPr>
        <w:t xml:space="preserve">The </w:t>
      </w:r>
      <w:r w:rsidRPr="00A00299">
        <w:rPr>
          <w:rFonts w:ascii="Palatino Linotype" w:hAnsi="Palatino Linotype"/>
        </w:rPr>
        <w:t xml:space="preserve">motivation for maintaining that trust can come without belief has to </w:t>
      </w:r>
      <w:r w:rsidRPr="00A00299">
        <w:rPr>
          <w:rFonts w:ascii="Palatino Linotype" w:hAnsi="Palatino Linotype"/>
        </w:rPr>
        <w:lastRenderedPageBreak/>
        <w:t>do with the reasons for trusting.</w:t>
      </w:r>
      <w:r w:rsidR="003D7E31">
        <w:rPr>
          <w:rFonts w:ascii="Palatino Linotype" w:hAnsi="Palatino Linotype"/>
        </w:rPr>
        <w:t xml:space="preserve"> Many think it is always irrational to believe for non-evidential reasons</w:t>
      </w:r>
      <w:r w:rsidRPr="00A00299">
        <w:rPr>
          <w:rFonts w:ascii="Palatino Linotype" w:hAnsi="Palatino Linotype"/>
        </w:rPr>
        <w:t>, and if trust entailed believing, then all non-evidentially</w:t>
      </w:r>
      <w:r w:rsidR="004E5A4F" w:rsidRPr="00A00299">
        <w:rPr>
          <w:rFonts w:ascii="Palatino Linotype" w:hAnsi="Palatino Linotype"/>
        </w:rPr>
        <w:t xml:space="preserve"> based trusting would also be irrational</w:t>
      </w:r>
      <w:r w:rsidRPr="00A00299">
        <w:rPr>
          <w:rFonts w:ascii="Palatino Linotype" w:hAnsi="Palatino Linotype"/>
        </w:rPr>
        <w:t xml:space="preserve">. </w:t>
      </w:r>
      <w:r w:rsidR="002C4DFB" w:rsidRPr="00A00299">
        <w:rPr>
          <w:rFonts w:ascii="Palatino Linotype" w:hAnsi="Palatino Linotype"/>
        </w:rPr>
        <w:t xml:space="preserve"> The</w:t>
      </w:r>
      <w:r w:rsidRPr="00A00299">
        <w:rPr>
          <w:rFonts w:ascii="Palatino Linotype" w:hAnsi="Palatino Linotype"/>
        </w:rPr>
        <w:t xml:space="preserve"> conclusion that it is always irrational to trust in such cases </w:t>
      </w:r>
      <w:r w:rsidR="002C4DFB" w:rsidRPr="00A00299">
        <w:rPr>
          <w:rFonts w:ascii="Palatino Linotype" w:hAnsi="Palatino Linotype"/>
        </w:rPr>
        <w:t>can be avoided if</w:t>
      </w:r>
      <w:r w:rsidRPr="00A00299">
        <w:rPr>
          <w:rFonts w:ascii="Palatino Linotype" w:hAnsi="Palatino Linotype"/>
        </w:rPr>
        <w:t xml:space="preserve"> the kind of “holding true” in cases of trust is not the same kind of “holding true” found in cases of belief. </w:t>
      </w:r>
      <w:r w:rsidR="007154F1" w:rsidRPr="00A00299">
        <w:rPr>
          <w:rFonts w:ascii="Palatino Linotype" w:hAnsi="Palatino Linotype"/>
        </w:rPr>
        <w:t xml:space="preserve"> If this were the case then trust, like reliance, can come without belief; I can trust that you will do something even if I do not believe that you will.</w:t>
      </w:r>
      <w:r w:rsidR="007154F1" w:rsidRPr="00A00299">
        <w:rPr>
          <w:rStyle w:val="FootnoteReference"/>
          <w:rFonts w:ascii="Palatino Linotype" w:hAnsi="Palatino Linotype"/>
        </w:rPr>
        <w:footnoteReference w:id="22"/>
      </w:r>
      <w:r w:rsidR="007154F1" w:rsidRPr="00A00299">
        <w:rPr>
          <w:rFonts w:ascii="Palatino Linotype" w:hAnsi="Palatino Linotype"/>
        </w:rPr>
        <w:t xml:space="preserve">  </w:t>
      </w:r>
      <w:r w:rsidRPr="00A00299">
        <w:rPr>
          <w:rFonts w:ascii="Palatino Linotype" w:hAnsi="Palatino Linotype"/>
        </w:rPr>
        <w:t xml:space="preserve"> This is </w:t>
      </w:r>
      <w:r w:rsidR="007154F1" w:rsidRPr="00A00299">
        <w:rPr>
          <w:rFonts w:ascii="Palatino Linotype" w:hAnsi="Palatino Linotype"/>
        </w:rPr>
        <w:t xml:space="preserve"> Guy</w:t>
      </w:r>
      <w:r w:rsidR="002C4DFB" w:rsidRPr="00A00299">
        <w:rPr>
          <w:rFonts w:ascii="Palatino Linotype" w:hAnsi="Palatino Linotype"/>
        </w:rPr>
        <w:t xml:space="preserve"> </w:t>
      </w:r>
      <w:r w:rsidRPr="00A00299">
        <w:rPr>
          <w:rFonts w:ascii="Palatino Linotype" w:hAnsi="Palatino Linotype"/>
        </w:rPr>
        <w:t>Longworth’s view, for example.  He says, “insofar as one has a conception of belief as governed by evidence, one has a reason not to conflate holding things true for practical purposes with holding things true for theoretical purposes”</w:t>
      </w:r>
      <w:r w:rsidR="002C4DFB" w:rsidRPr="00A00299">
        <w:rPr>
          <w:rFonts w:ascii="Palatino Linotype" w:hAnsi="Palatino Linotype"/>
        </w:rPr>
        <w:t xml:space="preserve"> (2017</w:t>
      </w:r>
      <w:r w:rsidR="004D3693">
        <w:rPr>
          <w:rFonts w:ascii="Palatino Linotype" w:hAnsi="Palatino Linotype"/>
        </w:rPr>
        <w:t>, 264</w:t>
      </w:r>
      <w:r w:rsidR="002C4DFB" w:rsidRPr="00A00299">
        <w:rPr>
          <w:rFonts w:ascii="Palatino Linotype" w:hAnsi="Palatino Linotype"/>
        </w:rPr>
        <w:t>)</w:t>
      </w:r>
      <w:r w:rsidR="00EA464E">
        <w:rPr>
          <w:rFonts w:ascii="Palatino Linotype" w:hAnsi="Palatino Linotype"/>
        </w:rPr>
        <w:t>.</w:t>
      </w:r>
      <w:r w:rsidRPr="00A00299">
        <w:rPr>
          <w:rFonts w:ascii="Palatino Linotype" w:hAnsi="Palatino Linotype"/>
        </w:rPr>
        <w:t xml:space="preserve"> His worry about counting these kinds of “holding true” as beliefs is that, according to the </w:t>
      </w:r>
      <w:r w:rsidR="007815D1" w:rsidRPr="00A00299">
        <w:rPr>
          <w:rFonts w:ascii="Palatino Linotype" w:hAnsi="Palatino Linotype"/>
        </w:rPr>
        <w:t>cognitivist</w:t>
      </w:r>
      <w:r w:rsidRPr="00A00299">
        <w:rPr>
          <w:rFonts w:ascii="Palatino Linotype" w:hAnsi="Palatino Linotype"/>
        </w:rPr>
        <w:t xml:space="preserve"> view, they would all be irrational or defective because they are held for non-evidential reasons and any </w:t>
      </w:r>
      <w:r w:rsidRPr="00A00299">
        <w:rPr>
          <w:rFonts w:ascii="Palatino Linotype" w:hAnsi="Palatino Linotype"/>
          <w:i/>
        </w:rPr>
        <w:t xml:space="preserve">beliefs </w:t>
      </w:r>
      <w:r w:rsidRPr="00A00299">
        <w:rPr>
          <w:rFonts w:ascii="Palatino Linotype" w:hAnsi="Palatino Linotype"/>
        </w:rPr>
        <w:t xml:space="preserve">so held (if such a thing is even possible) are defective or irrational. But to say it is always irrational to trust </w:t>
      </w:r>
      <w:r w:rsidR="004B7CF9">
        <w:rPr>
          <w:rFonts w:ascii="Palatino Linotype" w:hAnsi="Palatino Linotype"/>
        </w:rPr>
        <w:t xml:space="preserve">in these cases </w:t>
      </w:r>
      <w:r w:rsidRPr="00A00299">
        <w:rPr>
          <w:rFonts w:ascii="Palatino Linotype" w:hAnsi="Palatino Linotype"/>
        </w:rPr>
        <w:t>is a worrisome conclusion. Moreover, as we have seen, we can distinguish cases of reasonable and unreasonable trusting.</w:t>
      </w:r>
      <w:r w:rsidR="0030741C" w:rsidRPr="00A00299">
        <w:rPr>
          <w:rFonts w:ascii="Palatino Linotype" w:hAnsi="Palatino Linotype"/>
        </w:rPr>
        <w:t xml:space="preserve"> </w:t>
      </w:r>
      <w:r w:rsidR="005B56EA" w:rsidRPr="00A00299">
        <w:rPr>
          <w:rStyle w:val="FootnoteReference"/>
          <w:rFonts w:ascii="Palatino Linotype" w:hAnsi="Palatino Linotype"/>
        </w:rPr>
        <w:footnoteReference w:id="23"/>
      </w:r>
    </w:p>
    <w:p w14:paraId="22781C6A" w14:textId="5697F004" w:rsidR="00F1457B" w:rsidRPr="00A00299" w:rsidRDefault="007154F1" w:rsidP="007154F1">
      <w:pPr>
        <w:widowControl w:val="0"/>
        <w:autoSpaceDE w:val="0"/>
        <w:autoSpaceDN w:val="0"/>
        <w:adjustRightInd w:val="0"/>
        <w:spacing w:line="480" w:lineRule="auto"/>
        <w:ind w:firstLine="720"/>
        <w:rPr>
          <w:rFonts w:ascii="Palatino Linotype" w:hAnsi="Palatino Linotype"/>
        </w:rPr>
      </w:pPr>
      <w:r w:rsidRPr="00A00299">
        <w:rPr>
          <w:rFonts w:ascii="Palatino Linotype" w:hAnsi="Palatino Linotype"/>
        </w:rPr>
        <w:t xml:space="preserve">Given the potential costs associated with trusting I find the idea that trust </w:t>
      </w:r>
      <w:r w:rsidRPr="00A00299">
        <w:rPr>
          <w:rFonts w:ascii="Palatino Linotype" w:hAnsi="Palatino Linotype"/>
        </w:rPr>
        <w:lastRenderedPageBreak/>
        <w:t>can come without belief implausible. Trust makes you vulnerable, you open yourself up to the possibility of betrayal, as Richard Holton says it requires a kind of “emotional seriousness.”  If I tell you sincerely that I will keep my word and you say you trust me even though you don’t believe me, I would have a hard time understanding you. Not being believed is a terrible feeling and it is the same terrible feeling as not being trusted.</w:t>
      </w:r>
      <w:r w:rsidRPr="00A00299">
        <w:rPr>
          <w:rStyle w:val="FootnoteReference"/>
          <w:rFonts w:ascii="Palatino Linotype" w:hAnsi="Palatino Linotype"/>
        </w:rPr>
        <w:footnoteReference w:id="24"/>
      </w:r>
      <w:r w:rsidR="00F1457B" w:rsidRPr="00A00299">
        <w:rPr>
          <w:rFonts w:ascii="Palatino Linotype" w:hAnsi="Palatino Linotype"/>
        </w:rPr>
        <w:t xml:space="preserve"> Two options are availa</w:t>
      </w:r>
      <w:r w:rsidR="00830CF0" w:rsidRPr="00A00299">
        <w:rPr>
          <w:rFonts w:ascii="Palatino Linotype" w:hAnsi="Palatino Linotype"/>
        </w:rPr>
        <w:t>ble: accept the</w:t>
      </w:r>
      <w:r w:rsidR="00F1457B" w:rsidRPr="00A00299">
        <w:rPr>
          <w:rFonts w:ascii="Palatino Linotype" w:hAnsi="Palatino Linotype"/>
        </w:rPr>
        <w:t xml:space="preserve"> view of belief</w:t>
      </w:r>
      <w:r w:rsidR="00830CF0" w:rsidRPr="00A00299">
        <w:rPr>
          <w:rFonts w:ascii="Palatino Linotype" w:hAnsi="Palatino Linotype"/>
        </w:rPr>
        <w:t xml:space="preserve"> which entails that </w:t>
      </w:r>
      <w:r w:rsidR="00F1457B" w:rsidRPr="00A00299">
        <w:rPr>
          <w:rFonts w:ascii="Palatino Linotype" w:hAnsi="Palatino Linotype"/>
        </w:rPr>
        <w:t xml:space="preserve">we frequently do not actually believe those whom we trust are trustworthy, or see these as cases which reveal the limitations of </w:t>
      </w:r>
      <w:r w:rsidR="00830CF0" w:rsidRPr="00A00299">
        <w:rPr>
          <w:rFonts w:ascii="Palatino Linotype" w:hAnsi="Palatino Linotype"/>
        </w:rPr>
        <w:t>that</w:t>
      </w:r>
      <w:r w:rsidR="00F1457B" w:rsidRPr="00A00299">
        <w:rPr>
          <w:rFonts w:ascii="Palatino Linotype" w:hAnsi="Palatino Linotype"/>
        </w:rPr>
        <w:t xml:space="preserve"> view of belief.</w:t>
      </w:r>
      <w:r w:rsidR="00F1457B" w:rsidRPr="00A00299">
        <w:rPr>
          <w:rStyle w:val="FootnoteReference"/>
          <w:rFonts w:ascii="Palatino Linotype" w:hAnsi="Palatino Linotype"/>
        </w:rPr>
        <w:footnoteReference w:id="25"/>
      </w:r>
    </w:p>
    <w:p w14:paraId="2A5E4455" w14:textId="0B443234" w:rsidR="002C4DFB" w:rsidRPr="00A00299" w:rsidRDefault="007154F1" w:rsidP="00F63108">
      <w:pPr>
        <w:widowControl w:val="0"/>
        <w:autoSpaceDE w:val="0"/>
        <w:autoSpaceDN w:val="0"/>
        <w:adjustRightInd w:val="0"/>
        <w:spacing w:line="480" w:lineRule="auto"/>
        <w:ind w:firstLine="720"/>
        <w:rPr>
          <w:rFonts w:ascii="Palatino Linotype" w:hAnsi="Palatino Linotype"/>
        </w:rPr>
      </w:pPr>
      <w:r w:rsidRPr="00A00299">
        <w:rPr>
          <w:rFonts w:ascii="Palatino Linotype" w:hAnsi="Palatino Linotype"/>
        </w:rPr>
        <w:t xml:space="preserve">Again, if beliefs are </w:t>
      </w:r>
      <w:r w:rsidR="002C4DFB" w:rsidRPr="00A00299">
        <w:rPr>
          <w:rFonts w:ascii="Palatino Linotype" w:hAnsi="Palatino Linotype"/>
        </w:rPr>
        <w:t>emotions</w:t>
      </w:r>
      <w:r w:rsidRPr="00A00299">
        <w:rPr>
          <w:rFonts w:ascii="Palatino Linotype" w:hAnsi="Palatino Linotype"/>
        </w:rPr>
        <w:t>, we do not need to conclude that the kind of “holding true” found in cases of trust are not beliefs</w:t>
      </w:r>
      <w:r w:rsidR="00965539" w:rsidRPr="00A00299">
        <w:rPr>
          <w:rFonts w:ascii="Palatino Linotype" w:hAnsi="Palatino Linotype"/>
        </w:rPr>
        <w:t xml:space="preserve"> in order to allow </w:t>
      </w:r>
      <w:r w:rsidR="0030741C" w:rsidRPr="00A00299">
        <w:rPr>
          <w:rFonts w:ascii="Palatino Linotype" w:hAnsi="Palatino Linotype"/>
        </w:rPr>
        <w:t xml:space="preserve">for </w:t>
      </w:r>
      <w:r w:rsidR="00965539" w:rsidRPr="00A00299">
        <w:rPr>
          <w:rFonts w:ascii="Palatino Linotype" w:hAnsi="Palatino Linotype"/>
        </w:rPr>
        <w:t>the possibility of rationally trusting for no</w:t>
      </w:r>
      <w:r w:rsidR="0030741C" w:rsidRPr="00A00299">
        <w:rPr>
          <w:rFonts w:ascii="Palatino Linotype" w:hAnsi="Palatino Linotype"/>
        </w:rPr>
        <w:t>n</w:t>
      </w:r>
      <w:r w:rsidR="00965539" w:rsidRPr="00A00299">
        <w:rPr>
          <w:rFonts w:ascii="Palatino Linotype" w:hAnsi="Palatino Linotype"/>
        </w:rPr>
        <w:t xml:space="preserve">-evidential reasons. </w:t>
      </w:r>
      <w:r w:rsidR="002C4DFB" w:rsidRPr="00A00299">
        <w:rPr>
          <w:rFonts w:ascii="Palatino Linotype" w:hAnsi="Palatino Linotype"/>
        </w:rPr>
        <w:t xml:space="preserve">Instead we can see that their rational assessment is similar to the way we assess other emotions.  Whether a particular emotion is appropriate, justified, fitting or one I “ought” to have partly depends on the evidence.  </w:t>
      </w:r>
      <w:r w:rsidR="00E02DBC" w:rsidRPr="00A00299">
        <w:rPr>
          <w:rFonts w:ascii="Palatino Linotype" w:hAnsi="Palatino Linotype"/>
        </w:rPr>
        <w:t>Suppose</w:t>
      </w:r>
      <w:r w:rsidR="002C4DFB" w:rsidRPr="00A00299">
        <w:rPr>
          <w:rFonts w:ascii="Palatino Linotype" w:hAnsi="Palatino Linotype"/>
        </w:rPr>
        <w:t xml:space="preserve"> </w:t>
      </w:r>
      <w:r w:rsidR="00E02DBC" w:rsidRPr="00A00299">
        <w:rPr>
          <w:rFonts w:ascii="Palatino Linotype" w:hAnsi="Palatino Linotype"/>
        </w:rPr>
        <w:t xml:space="preserve">I am angry at my neighbor for </w:t>
      </w:r>
      <w:r w:rsidR="00E02DBC" w:rsidRPr="00A00299">
        <w:rPr>
          <w:rFonts w:ascii="Palatino Linotype" w:hAnsi="Palatino Linotype"/>
        </w:rPr>
        <w:lastRenderedPageBreak/>
        <w:t>failing to take care and running into my boat on a foggy day. If the fog lifts to reveal no one is the boat, my anger will disappear, and of it does not,</w:t>
      </w:r>
      <w:r w:rsidR="002C4DFB" w:rsidRPr="00A00299">
        <w:rPr>
          <w:rFonts w:ascii="Palatino Linotype" w:hAnsi="Palatino Linotype"/>
        </w:rPr>
        <w:t xml:space="preserve"> then I can be </w:t>
      </w:r>
      <w:r w:rsidR="00E02DBC" w:rsidRPr="00A00299">
        <w:rPr>
          <w:rFonts w:ascii="Palatino Linotype" w:hAnsi="Palatino Linotype"/>
        </w:rPr>
        <w:t xml:space="preserve">rightfully </w:t>
      </w:r>
      <w:r w:rsidR="002C4DFB" w:rsidRPr="00A00299">
        <w:rPr>
          <w:rFonts w:ascii="Palatino Linotype" w:hAnsi="Palatino Linotype"/>
        </w:rPr>
        <w:t>criticized</w:t>
      </w:r>
      <w:r w:rsidR="00E02DBC" w:rsidRPr="00A00299">
        <w:rPr>
          <w:rFonts w:ascii="Palatino Linotype" w:hAnsi="Palatino Linotype"/>
        </w:rPr>
        <w:t>.</w:t>
      </w:r>
      <w:r w:rsidR="007F6816">
        <w:rPr>
          <w:rStyle w:val="FootnoteReference"/>
          <w:rFonts w:ascii="Palatino Linotype" w:hAnsi="Palatino Linotype"/>
        </w:rPr>
        <w:footnoteReference w:id="26"/>
      </w:r>
      <w:r w:rsidR="002C4DFB" w:rsidRPr="00A00299">
        <w:rPr>
          <w:rFonts w:ascii="Palatino Linotype" w:hAnsi="Palatino Linotype"/>
        </w:rPr>
        <w:t xml:space="preserve"> </w:t>
      </w:r>
      <w:r w:rsidR="00E02DBC" w:rsidRPr="00A00299">
        <w:rPr>
          <w:rFonts w:ascii="Palatino Linotype" w:hAnsi="Palatino Linotype"/>
        </w:rPr>
        <w:t>How</w:t>
      </w:r>
      <w:r w:rsidR="002C4DFB" w:rsidRPr="00A00299">
        <w:rPr>
          <w:rFonts w:ascii="Palatino Linotype" w:hAnsi="Palatino Linotype"/>
        </w:rPr>
        <w:t xml:space="preserve"> to assess the appropriateness of anger</w:t>
      </w:r>
      <w:r w:rsidR="00E02DBC" w:rsidRPr="00A00299">
        <w:rPr>
          <w:rFonts w:ascii="Palatino Linotype" w:hAnsi="Palatino Linotype"/>
        </w:rPr>
        <w:t>, or other emotions</w:t>
      </w:r>
      <w:r w:rsidR="004F74AF" w:rsidRPr="00A00299">
        <w:rPr>
          <w:rFonts w:ascii="Palatino Linotype" w:hAnsi="Palatino Linotype"/>
        </w:rPr>
        <w:t>,</w:t>
      </w:r>
      <w:r w:rsidR="002C4DFB" w:rsidRPr="00A00299">
        <w:rPr>
          <w:rFonts w:ascii="Palatino Linotype" w:hAnsi="Palatino Linotype"/>
        </w:rPr>
        <w:t xml:space="preserve"> in more murky circumstances is complicated. </w:t>
      </w:r>
      <w:r w:rsidR="004F74AF" w:rsidRPr="00A00299">
        <w:rPr>
          <w:rFonts w:ascii="Palatino Linotype" w:hAnsi="Palatino Linotype"/>
        </w:rPr>
        <w:t>Even if it turns out that I was correct that my neighbor carelessly ran into my boat, other considerations can support being critical of my anger</w:t>
      </w:r>
      <w:r w:rsidR="006C4957" w:rsidRPr="00A00299">
        <w:rPr>
          <w:rFonts w:ascii="Palatino Linotype" w:hAnsi="Palatino Linotype"/>
        </w:rPr>
        <w:t xml:space="preserve">. These may include, for example, that I have a disposition to become angry too quickly which has been detrimental to me and my relationships. If I am trying to work on altering this disposition, it can </w:t>
      </w:r>
      <w:r w:rsidR="00EA464E">
        <w:rPr>
          <w:rFonts w:ascii="Palatino Linotype" w:hAnsi="Palatino Linotype"/>
        </w:rPr>
        <w:t>b</w:t>
      </w:r>
      <w:r w:rsidR="006C4957" w:rsidRPr="00A00299">
        <w:rPr>
          <w:rFonts w:ascii="Palatino Linotype" w:hAnsi="Palatino Linotype"/>
        </w:rPr>
        <w:t>e said I ought not to have become angry in this case despite the evidence.</w:t>
      </w:r>
      <w:r w:rsidR="006C4957" w:rsidRPr="00A00299">
        <w:rPr>
          <w:rStyle w:val="FootnoteReference"/>
          <w:rFonts w:ascii="Palatino Linotype" w:hAnsi="Palatino Linotype"/>
        </w:rPr>
        <w:footnoteReference w:id="27"/>
      </w:r>
    </w:p>
    <w:p w14:paraId="589D7950" w14:textId="7D70483E" w:rsidR="00F1457B" w:rsidRPr="00A00299" w:rsidRDefault="002C4DFB" w:rsidP="002C4DFB">
      <w:pPr>
        <w:widowControl w:val="0"/>
        <w:autoSpaceDE w:val="0"/>
        <w:autoSpaceDN w:val="0"/>
        <w:adjustRightInd w:val="0"/>
        <w:spacing w:line="480" w:lineRule="auto"/>
        <w:ind w:firstLine="720"/>
        <w:rPr>
          <w:rFonts w:ascii="Palatino Linotype" w:hAnsi="Palatino Linotype"/>
        </w:rPr>
      </w:pPr>
      <w:r w:rsidRPr="00A00299">
        <w:rPr>
          <w:rFonts w:ascii="Palatino Linotype" w:hAnsi="Palatino Linotype"/>
        </w:rPr>
        <w:t xml:space="preserve"> </w:t>
      </w:r>
      <w:r w:rsidR="00F1457B" w:rsidRPr="00A00299">
        <w:rPr>
          <w:rFonts w:ascii="Palatino Linotype" w:hAnsi="Palatino Linotype"/>
        </w:rPr>
        <w:t>Another kind of problematic “holding true” which shares some similarities with trust are those related to matters of religion, or perhaps what may more broadly be called “meaning-making.”</w:t>
      </w:r>
      <w:r w:rsidR="00F1457B" w:rsidRPr="00A00299">
        <w:rPr>
          <w:rStyle w:val="FootnoteReference"/>
          <w:rFonts w:ascii="Palatino Linotype" w:hAnsi="Palatino Linotype"/>
        </w:rPr>
        <w:footnoteReference w:id="28"/>
      </w:r>
      <w:r w:rsidR="00F1457B" w:rsidRPr="00A00299">
        <w:rPr>
          <w:rFonts w:ascii="Palatino Linotype" w:hAnsi="Palatino Linotype"/>
        </w:rPr>
        <w:t xml:space="preserve"> I am worried about using the term “religion” because I do not want to include only those views committed to the idea of a deity or to a particular creed or dogma.  I want to include in this category the beliefs (if they are that) of the practitioner in deep mediation who holds true, for example, that all beings are connected, or that the notion of an </w:t>
      </w:r>
      <w:r w:rsidR="00F1457B" w:rsidRPr="00A00299">
        <w:rPr>
          <w:rFonts w:ascii="Palatino Linotype" w:hAnsi="Palatino Linotype"/>
        </w:rPr>
        <w:lastRenderedPageBreak/>
        <w:t>individual self is an illusion.</w:t>
      </w:r>
      <w:r w:rsidR="00F1457B" w:rsidRPr="00A00299">
        <w:rPr>
          <w:rStyle w:val="FootnoteReference"/>
          <w:rFonts w:ascii="Palatino Linotype" w:hAnsi="Palatino Linotype"/>
        </w:rPr>
        <w:footnoteReference w:id="29"/>
      </w:r>
    </w:p>
    <w:p w14:paraId="2C43E7C7" w14:textId="7B1F8F44" w:rsidR="00F1457B" w:rsidRPr="00A00299" w:rsidRDefault="00F1457B" w:rsidP="00FF0D93">
      <w:pPr>
        <w:spacing w:line="480" w:lineRule="auto"/>
        <w:ind w:left="-90"/>
        <w:rPr>
          <w:rFonts w:ascii="Palatino Linotype" w:hAnsi="Palatino Linotype"/>
        </w:rPr>
      </w:pPr>
      <w:r w:rsidRPr="00A00299">
        <w:rPr>
          <w:rFonts w:ascii="Palatino Linotype" w:hAnsi="Palatino Linotype"/>
        </w:rPr>
        <w:tab/>
      </w:r>
      <w:r w:rsidRPr="00A00299">
        <w:rPr>
          <w:rFonts w:ascii="Palatino Linotype" w:hAnsi="Palatino Linotype"/>
        </w:rPr>
        <w:tab/>
        <w:t>To exclude matters of faith from the domain of belief, on the face of it, seems the most counterintuitive, at least according to the way people ordinarily talk.  When I tell non-philosophers that I work on issues related to beliefs, they often assume I mean religious beliefs and I need to explain that I am also interested in more mundane, factual beliefs.</w:t>
      </w:r>
      <w:r w:rsidRPr="00A00299">
        <w:rPr>
          <w:rStyle w:val="FootnoteReference"/>
          <w:rFonts w:ascii="Palatino Linotype" w:hAnsi="Palatino Linotype"/>
        </w:rPr>
        <w:footnoteReference w:id="30"/>
      </w:r>
      <w:r w:rsidRPr="00A00299">
        <w:rPr>
          <w:rFonts w:ascii="Palatino Linotype" w:hAnsi="Palatino Linotype"/>
        </w:rPr>
        <w:t xml:space="preserve">  What then is the motivation for excluding them? Again, like with trust, they have a problematic connection to the evidence that makes them difficult to evaluate in any standard way.</w:t>
      </w:r>
      <w:r w:rsidR="00965539" w:rsidRPr="00A00299">
        <w:rPr>
          <w:rFonts w:ascii="Palatino Linotype" w:hAnsi="Palatino Linotype"/>
        </w:rPr>
        <w:t xml:space="preserve"> </w:t>
      </w:r>
      <w:r w:rsidRPr="00A00299">
        <w:rPr>
          <w:rFonts w:ascii="Palatino Linotype" w:hAnsi="Palatino Linotype"/>
        </w:rPr>
        <w:t>While some religious believers claim that their beliefs are evidentia</w:t>
      </w:r>
      <w:r w:rsidR="009A6014" w:rsidRPr="00A00299">
        <w:rPr>
          <w:rFonts w:ascii="Palatino Linotype" w:hAnsi="Palatino Linotype"/>
        </w:rPr>
        <w:t xml:space="preserve">lly based, there are also </w:t>
      </w:r>
      <w:r w:rsidR="009A6014" w:rsidRPr="00A00299">
        <w:rPr>
          <w:rFonts w:ascii="Palatino Linotype" w:hAnsi="Palatino Linotype"/>
        </w:rPr>
        <w:lastRenderedPageBreak/>
        <w:t>those</w:t>
      </w:r>
      <w:r w:rsidR="002C4DFB" w:rsidRPr="00A00299">
        <w:rPr>
          <w:rFonts w:ascii="Palatino Linotype" w:hAnsi="Palatino Linotype"/>
        </w:rPr>
        <w:t xml:space="preserve"> </w:t>
      </w:r>
      <w:r w:rsidR="009A6014" w:rsidRPr="00A00299">
        <w:rPr>
          <w:rFonts w:ascii="Palatino Linotype" w:hAnsi="Palatino Linotype"/>
        </w:rPr>
        <w:t xml:space="preserve">who </w:t>
      </w:r>
      <w:r w:rsidRPr="00A00299">
        <w:rPr>
          <w:rFonts w:ascii="Palatino Linotype" w:hAnsi="Palatino Linotype"/>
        </w:rPr>
        <w:t xml:space="preserve">talk about faith as something like believing despite having no evidence, that the talk of evidence is beside the point. If this is the case, they seem to share what is problematic about delusions, namely that they are highly resistant to countervailing beliefs or evidence. </w:t>
      </w:r>
    </w:p>
    <w:p w14:paraId="441F7E7B" w14:textId="037A0690" w:rsidR="00F1457B" w:rsidRPr="00A00299" w:rsidRDefault="00F1457B" w:rsidP="00FF0D93">
      <w:pPr>
        <w:spacing w:line="480" w:lineRule="auto"/>
        <w:ind w:left="-90"/>
        <w:rPr>
          <w:rFonts w:ascii="Palatino Linotype" w:hAnsi="Palatino Linotype"/>
        </w:rPr>
      </w:pPr>
      <w:r w:rsidRPr="00A00299">
        <w:rPr>
          <w:rFonts w:ascii="Palatino Linotype" w:hAnsi="Palatino Linotype"/>
        </w:rPr>
        <w:tab/>
      </w:r>
      <w:r w:rsidRPr="00A00299">
        <w:rPr>
          <w:rFonts w:ascii="Palatino Linotype" w:hAnsi="Palatino Linotype"/>
        </w:rPr>
        <w:tab/>
        <w:t xml:space="preserve">Because the reasons for excluding them are similar to the reasons for excluding the other kinds of cases I have discussed, the same considerations for including them apply in this domain. Again, it is very important that not all “meaning-making-holdings-true” get lumped together as being in some other category which excludes them from evaluation. If we retain the idea that they </w:t>
      </w:r>
      <w:r w:rsidRPr="00A00299">
        <w:rPr>
          <w:rFonts w:ascii="Palatino Linotype" w:hAnsi="Palatino Linotype"/>
          <w:i/>
        </w:rPr>
        <w:t>are</w:t>
      </w:r>
      <w:r w:rsidRPr="00A00299">
        <w:rPr>
          <w:rFonts w:ascii="Palatino Linotype" w:hAnsi="Palatino Linotype"/>
        </w:rPr>
        <w:t xml:space="preserve"> beliefs then we can distinguish between them and they need not all be equally irrational or defective. The same criteria appealed to in cases of trust can be used in matters of faith, and the content of the proposition “held true” will matter in distinguishing between them. If one holds something true despite overwhelming evidence against it, this is different than holding true when the evidence is absent, neutral or very inconclusive. As in the cases of trust, believing for non-evidential reasons in the latter cases may well be </w:t>
      </w:r>
      <w:r w:rsidR="00655EBB" w:rsidRPr="00A00299">
        <w:rPr>
          <w:rFonts w:ascii="Palatino Linotype" w:hAnsi="Palatino Linotype"/>
        </w:rPr>
        <w:t>rational</w:t>
      </w:r>
      <w:r w:rsidRPr="00A00299">
        <w:rPr>
          <w:rFonts w:ascii="Palatino Linotype" w:hAnsi="Palatino Linotype"/>
        </w:rPr>
        <w:t xml:space="preserve">. But in the “meaning-making” domain those cases will be even more rare than in matters of trust. It seems only propositions with vague or imprecise content will not have massive countervailing evidence against them, propositions like “there is </w:t>
      </w:r>
      <w:r w:rsidRPr="00A00299">
        <w:rPr>
          <w:rFonts w:ascii="Palatino Linotype" w:hAnsi="Palatino Linotype" w:cs="Times New Roman"/>
        </w:rPr>
        <w:t>something greater or beyond what can be measured materially.</w:t>
      </w:r>
      <w:r w:rsidRPr="00A00299">
        <w:rPr>
          <w:rFonts w:ascii="Palatino Linotype" w:hAnsi="Palatino Linotype"/>
        </w:rPr>
        <w:t xml:space="preserve">” But the more specific the </w:t>
      </w:r>
      <w:r w:rsidRPr="00A00299">
        <w:rPr>
          <w:rFonts w:ascii="Palatino Linotype" w:hAnsi="Palatino Linotype"/>
        </w:rPr>
        <w:lastRenderedPageBreak/>
        <w:t>content, the more likely it is that it can only be maintained by ignoring, suppressing or disregarding evidence, as would be the case with the belief that “</w:t>
      </w:r>
      <w:r w:rsidRPr="00A00299">
        <w:rPr>
          <w:rFonts w:ascii="Palatino Linotype" w:hAnsi="Palatino Linotype" w:cs="Times New Roman"/>
        </w:rPr>
        <w:t>there is such a person as the God of Abraham, Isaac, and Jacob, the God of Jewish and Christian revelation: the God of the Bible</w:t>
      </w:r>
      <w:r w:rsidRPr="00A00299">
        <w:rPr>
          <w:rFonts w:ascii="Palatino Linotype" w:hAnsi="Palatino Linotype"/>
        </w:rPr>
        <w:t>.”</w:t>
      </w:r>
      <w:r w:rsidRPr="00A00299">
        <w:rPr>
          <w:rStyle w:val="FootnoteReference"/>
          <w:rFonts w:ascii="Palatino Linotype" w:hAnsi="Palatino Linotype"/>
        </w:rPr>
        <w:footnoteReference w:id="31"/>
      </w:r>
    </w:p>
    <w:p w14:paraId="35D5716B" w14:textId="38895922" w:rsidR="008244A6" w:rsidRPr="00A00299" w:rsidRDefault="009A6014" w:rsidP="00FF0D93">
      <w:pPr>
        <w:spacing w:line="480" w:lineRule="auto"/>
        <w:ind w:firstLine="720"/>
        <w:rPr>
          <w:rFonts w:ascii="Palatino Linotype" w:hAnsi="Palatino Linotype"/>
        </w:rPr>
      </w:pPr>
      <w:r w:rsidRPr="00A00299">
        <w:rPr>
          <w:rFonts w:ascii="Palatino Linotype" w:hAnsi="Palatino Linotype"/>
        </w:rPr>
        <w:t>In matters of trust and faith, depending on the context, these beliefs can either be rational or not.  Thinking about beliefs as emotion</w:t>
      </w:r>
      <w:r w:rsidR="00655EBB" w:rsidRPr="00A00299">
        <w:rPr>
          <w:rFonts w:ascii="Palatino Linotype" w:hAnsi="Palatino Linotype"/>
        </w:rPr>
        <w:t>s</w:t>
      </w:r>
      <w:r w:rsidRPr="00A00299">
        <w:rPr>
          <w:rFonts w:ascii="Palatino Linotype" w:hAnsi="Palatino Linotype"/>
        </w:rPr>
        <w:t>, and that they can be rationally assessed as other emotions are</w:t>
      </w:r>
      <w:r w:rsidR="00655EBB" w:rsidRPr="00A00299">
        <w:rPr>
          <w:rFonts w:ascii="Palatino Linotype" w:hAnsi="Palatino Linotype"/>
        </w:rPr>
        <w:t>,</w:t>
      </w:r>
      <w:r w:rsidRPr="00A00299">
        <w:rPr>
          <w:rFonts w:ascii="Palatino Linotype" w:hAnsi="Palatino Linotype"/>
        </w:rPr>
        <w:t xml:space="preserve"> </w:t>
      </w:r>
      <w:r w:rsidR="008244A6" w:rsidRPr="00A00299">
        <w:rPr>
          <w:rFonts w:ascii="Palatino Linotype" w:hAnsi="Palatino Linotype"/>
        </w:rPr>
        <w:t>can explain the differences between them.</w:t>
      </w:r>
      <w:r w:rsidRPr="00A00299">
        <w:rPr>
          <w:rFonts w:ascii="Palatino Linotype" w:hAnsi="Palatino Linotype"/>
        </w:rPr>
        <w:t xml:space="preserve"> </w:t>
      </w:r>
      <w:r w:rsidR="008244A6" w:rsidRPr="00A00299">
        <w:rPr>
          <w:rFonts w:ascii="Palatino Linotype" w:hAnsi="Palatino Linotype"/>
        </w:rPr>
        <w:t>If</w:t>
      </w:r>
      <w:r w:rsidRPr="00A00299">
        <w:rPr>
          <w:rFonts w:ascii="Palatino Linotype" w:hAnsi="Palatino Linotype"/>
        </w:rPr>
        <w:t xml:space="preserve"> one believes purely because of the strength of the feeling and the feeling overwhelms one so that one’s cognitive grasp is corrupted, then the beliefs are, epistemically, on par with delusions; Freud called religious beliefs delusions, in part, because he saw them as essentially </w:t>
      </w:r>
      <w:proofErr w:type="spellStart"/>
      <w:r w:rsidRPr="00A00299">
        <w:rPr>
          <w:rFonts w:ascii="Palatino Linotype" w:hAnsi="Palatino Linotype"/>
        </w:rPr>
        <w:t>unrevisable</w:t>
      </w:r>
      <w:proofErr w:type="spellEnd"/>
      <w:r w:rsidRPr="00A00299">
        <w:rPr>
          <w:rFonts w:ascii="Palatino Linotype" w:hAnsi="Palatino Linotype"/>
        </w:rPr>
        <w:t>. And we might refer to a friend who seems incapable of attending to the clear evidence that her spouse is unfaithful as “deluded.” Of course, clinical delusions differ from these for many reasons, including the disruption and pain they cause.  But the kind of irrationality displayed in the cases is similar.</w:t>
      </w:r>
    </w:p>
    <w:p w14:paraId="6509F83D" w14:textId="77777777" w:rsidR="008244A6" w:rsidRPr="00A00299" w:rsidRDefault="009A6014" w:rsidP="00FF0D93">
      <w:pPr>
        <w:spacing w:line="480" w:lineRule="auto"/>
        <w:ind w:firstLine="720"/>
        <w:rPr>
          <w:rFonts w:ascii="Palatino Linotype" w:hAnsi="Palatino Linotype"/>
        </w:rPr>
      </w:pPr>
      <w:r w:rsidRPr="00A00299">
        <w:rPr>
          <w:rFonts w:ascii="Palatino Linotype" w:hAnsi="Palatino Linotype"/>
        </w:rPr>
        <w:t xml:space="preserve"> However, when it comes to some religious propositions and some matters of trust, it may be that the endorsement is primarily based on reasons to </w:t>
      </w:r>
      <w:r w:rsidRPr="00A00299">
        <w:rPr>
          <w:rFonts w:ascii="Palatino Linotype" w:hAnsi="Palatino Linotype"/>
          <w:i/>
        </w:rPr>
        <w:t>feel</w:t>
      </w:r>
      <w:r w:rsidRPr="00A00299">
        <w:rPr>
          <w:rFonts w:ascii="Palatino Linotype" w:hAnsi="Palatino Linotype"/>
        </w:rPr>
        <w:t xml:space="preserve"> a certain way, but one can still ask: are these feelings taking me away from </w:t>
      </w:r>
      <w:r w:rsidRPr="00A00299">
        <w:rPr>
          <w:rFonts w:ascii="Palatino Linotype" w:hAnsi="Palatino Linotype"/>
        </w:rPr>
        <w:lastRenderedPageBreak/>
        <w:t>the truth? If there is no evidence that your belief is false, then it is at least possible that they are leading you towards it.</w:t>
      </w:r>
      <w:r w:rsidRPr="00A00299">
        <w:rPr>
          <w:rFonts w:ascii="Palatino Linotype" w:hAnsi="Palatino Linotype"/>
        </w:rPr>
        <w:tab/>
      </w:r>
    </w:p>
    <w:p w14:paraId="0A9FA92F" w14:textId="276C1B78" w:rsidR="002C4DFB" w:rsidRPr="00A00299" w:rsidRDefault="002C4DFB" w:rsidP="002C4DFB">
      <w:pPr>
        <w:spacing w:line="480" w:lineRule="auto"/>
        <w:rPr>
          <w:rFonts w:ascii="Palatino Linotype" w:hAnsi="Palatino Linotype"/>
          <w:b/>
        </w:rPr>
      </w:pPr>
      <w:r w:rsidRPr="00A00299">
        <w:rPr>
          <w:rFonts w:ascii="Palatino Linotype" w:hAnsi="Palatino Linotype"/>
          <w:b/>
        </w:rPr>
        <w:t>3. Objections</w:t>
      </w:r>
      <w:r w:rsidR="00965539" w:rsidRPr="00A00299">
        <w:rPr>
          <w:rFonts w:ascii="Palatino Linotype" w:hAnsi="Palatino Linotype"/>
          <w:b/>
        </w:rPr>
        <w:t xml:space="preserve"> and replies</w:t>
      </w:r>
    </w:p>
    <w:p w14:paraId="6DA6F103" w14:textId="42E8A2FE" w:rsidR="0053387D" w:rsidRPr="00A00299" w:rsidRDefault="002C4DFB" w:rsidP="002C4DFB">
      <w:pPr>
        <w:spacing w:line="480" w:lineRule="auto"/>
        <w:rPr>
          <w:rFonts w:ascii="Palatino Linotype" w:hAnsi="Palatino Linotype"/>
          <w:bCs/>
          <w:i/>
          <w:iCs/>
        </w:rPr>
      </w:pPr>
      <w:r w:rsidRPr="00A00299">
        <w:rPr>
          <w:rFonts w:ascii="Palatino Linotype" w:hAnsi="Palatino Linotype"/>
          <w:bCs/>
          <w:i/>
          <w:iCs/>
        </w:rPr>
        <w:t>(</w:t>
      </w:r>
      <w:proofErr w:type="spellStart"/>
      <w:r w:rsidRPr="00A00299">
        <w:rPr>
          <w:rFonts w:ascii="Palatino Linotype" w:hAnsi="Palatino Linotype"/>
          <w:bCs/>
          <w:i/>
          <w:iCs/>
        </w:rPr>
        <w:t>i</w:t>
      </w:r>
      <w:proofErr w:type="spellEnd"/>
      <w:r w:rsidRPr="00A00299">
        <w:rPr>
          <w:rFonts w:ascii="Palatino Linotype" w:hAnsi="Palatino Linotype"/>
          <w:bCs/>
          <w:i/>
          <w:iCs/>
        </w:rPr>
        <w:t xml:space="preserve">) </w:t>
      </w:r>
      <w:r w:rsidR="0053387D" w:rsidRPr="00A00299">
        <w:rPr>
          <w:rFonts w:ascii="Palatino Linotype" w:hAnsi="Palatino Linotype"/>
          <w:bCs/>
          <w:i/>
          <w:iCs/>
        </w:rPr>
        <w:t>What do Beliefs feel like?</w:t>
      </w:r>
    </w:p>
    <w:p w14:paraId="00C6479C" w14:textId="1FD57BD0" w:rsidR="00F93CCE" w:rsidRPr="00A00299" w:rsidRDefault="00F93CCE" w:rsidP="0053387D">
      <w:pPr>
        <w:spacing w:line="480" w:lineRule="auto"/>
        <w:rPr>
          <w:rFonts w:ascii="Palatino Linotype" w:hAnsi="Palatino Linotype"/>
        </w:rPr>
      </w:pPr>
      <w:r w:rsidRPr="00A00299">
        <w:rPr>
          <w:rFonts w:ascii="Palatino Linotype" w:hAnsi="Palatino Linotype"/>
        </w:rPr>
        <w:t>To view beliefs as emotions may seem immediately implausible because it is unclear what the feeling is that accompanies them, whereas we can easily recognize the feeling of other emotions, though they may be difficult to articulate.</w:t>
      </w:r>
      <w:r w:rsidR="00A2685E" w:rsidRPr="00A00299">
        <w:rPr>
          <w:rFonts w:ascii="Palatino Linotype" w:hAnsi="Palatino Linotype"/>
        </w:rPr>
        <w:t xml:space="preserve"> </w:t>
      </w:r>
      <w:r w:rsidRPr="00A00299">
        <w:rPr>
          <w:rFonts w:ascii="Palatino Linotype" w:hAnsi="Palatino Linotype"/>
        </w:rPr>
        <w:t>I know what anger feels like, and what fear feels like, but what does belief feel like? Ronald de Sousa</w:t>
      </w:r>
      <w:r w:rsidR="00355A46">
        <w:rPr>
          <w:rFonts w:ascii="Palatino Linotype" w:hAnsi="Palatino Linotype"/>
        </w:rPr>
        <w:t xml:space="preserve"> (2008)</w:t>
      </w:r>
      <w:r w:rsidRPr="00A00299">
        <w:rPr>
          <w:rFonts w:ascii="Palatino Linotype" w:hAnsi="Palatino Linotype"/>
        </w:rPr>
        <w:t xml:space="preserve"> describes the “feeling of rightness” we have when propositions strike</w:t>
      </w:r>
      <w:r w:rsidR="004B7CF9">
        <w:rPr>
          <w:rFonts w:ascii="Palatino Linotype" w:hAnsi="Palatino Linotype"/>
        </w:rPr>
        <w:t xml:space="preserve"> us</w:t>
      </w:r>
      <w:r w:rsidRPr="00A00299">
        <w:rPr>
          <w:rFonts w:ascii="Palatino Linotype" w:hAnsi="Palatino Linotype"/>
        </w:rPr>
        <w:t xml:space="preserve"> as obviously true, like those which stem from the deliveries of the senses or recent vivid memories. </w:t>
      </w:r>
      <w:r w:rsidR="007D797F" w:rsidRPr="00A00299">
        <w:rPr>
          <w:rFonts w:ascii="Palatino Linotype" w:hAnsi="Palatino Linotype"/>
        </w:rPr>
        <w:t>De S</w:t>
      </w:r>
      <w:r w:rsidRPr="00A00299">
        <w:rPr>
          <w:rFonts w:ascii="Palatino Linotype" w:hAnsi="Palatino Linotype"/>
        </w:rPr>
        <w:t xml:space="preserve">ousa speculates that part of what might be going wrong for people suffering from OCD is that recent memory of performing certain actions “fails to trigger the right sort of feeling.” </w:t>
      </w:r>
    </w:p>
    <w:p w14:paraId="51B5CE10" w14:textId="7BCDDF83" w:rsidR="00F93CCE" w:rsidRPr="00A00299" w:rsidRDefault="00F93CCE" w:rsidP="004B7CF9">
      <w:pPr>
        <w:spacing w:line="480" w:lineRule="auto"/>
        <w:ind w:firstLine="720"/>
        <w:rPr>
          <w:rFonts w:ascii="Palatino Linotype" w:hAnsi="Palatino Linotype"/>
        </w:rPr>
      </w:pPr>
      <w:r w:rsidRPr="00A00299">
        <w:rPr>
          <w:rFonts w:ascii="Palatino Linotype" w:hAnsi="Palatino Linotype"/>
        </w:rPr>
        <w:t xml:space="preserve">Most of the time, with factual propositions, we will not notice the feeling. But this is the case with many emotions I have; they do not always have a strong phenomenal feel. </w:t>
      </w:r>
      <w:proofErr w:type="spellStart"/>
      <w:r w:rsidR="007F6816" w:rsidRPr="007F6816">
        <w:rPr>
          <w:rFonts w:ascii="Palatino Linotype" w:hAnsi="Palatino Linotype"/>
        </w:rPr>
        <w:t>Tapplolet</w:t>
      </w:r>
      <w:proofErr w:type="spellEnd"/>
      <w:r w:rsidR="007F6816" w:rsidRPr="007F6816">
        <w:rPr>
          <w:rFonts w:ascii="Palatino Linotype" w:hAnsi="Palatino Linotype"/>
        </w:rPr>
        <w:t xml:space="preserve">  makes this point, providing the example of the “quiet contentment while sharing a meal with a friend.” (2016, 6)</w:t>
      </w:r>
      <w:r w:rsidRPr="00A00299">
        <w:rPr>
          <w:rFonts w:ascii="Palatino Linotype" w:hAnsi="Palatino Linotype"/>
        </w:rPr>
        <w:t xml:space="preserve"> We experience emotions all the time of which we are not aware, and become aware of them when something draws our attention to them, or when they are needed to react appropriately to the environment. I may not be aware that I am angry at my </w:t>
      </w:r>
      <w:r w:rsidRPr="00A00299">
        <w:rPr>
          <w:rFonts w:ascii="Palatino Linotype" w:hAnsi="Palatino Linotype"/>
        </w:rPr>
        <w:lastRenderedPageBreak/>
        <w:t xml:space="preserve">father until some event happens that makes me aware. </w:t>
      </w:r>
      <w:r w:rsidR="004B7CF9">
        <w:rPr>
          <w:rFonts w:ascii="Palatino Linotype" w:hAnsi="Palatino Linotype"/>
        </w:rPr>
        <w:t xml:space="preserve"> While paradigm emotions can be analyzed experientially, we can also have long standing emotions (including beliefs) that are dispositions to have those experiences.</w:t>
      </w:r>
    </w:p>
    <w:p w14:paraId="76398F74" w14:textId="660D2FB8" w:rsidR="0053387D" w:rsidRPr="00A00299" w:rsidRDefault="002C4DFB" w:rsidP="0053387D">
      <w:pPr>
        <w:spacing w:line="480" w:lineRule="auto"/>
        <w:rPr>
          <w:rFonts w:ascii="Palatino Linotype" w:hAnsi="Palatino Linotype"/>
          <w:b/>
        </w:rPr>
      </w:pPr>
      <w:r w:rsidRPr="00A00299">
        <w:rPr>
          <w:rFonts w:ascii="Palatino Linotype" w:hAnsi="Palatino Linotype"/>
          <w:bCs/>
        </w:rPr>
        <w:t xml:space="preserve">(ii)  </w:t>
      </w:r>
      <w:r w:rsidRPr="00A00299">
        <w:rPr>
          <w:rFonts w:ascii="Palatino Linotype" w:hAnsi="Palatino Linotype"/>
          <w:bCs/>
          <w:i/>
          <w:iCs/>
        </w:rPr>
        <w:t>That beliefs are not emotions is revealed by what can be asserted about them.</w:t>
      </w:r>
    </w:p>
    <w:p w14:paraId="046710B0" w14:textId="5DC11914" w:rsidR="00F20990" w:rsidRPr="00A00299" w:rsidRDefault="00F20990" w:rsidP="00FF0D93">
      <w:pPr>
        <w:spacing w:line="480" w:lineRule="auto"/>
        <w:ind w:firstLine="720"/>
        <w:rPr>
          <w:rFonts w:ascii="Palatino Linotype" w:eastAsia="Times New Roman" w:hAnsi="Palatino Linotype" w:cs="Times New Roman"/>
        </w:rPr>
      </w:pPr>
      <w:r w:rsidRPr="00A00299">
        <w:rPr>
          <w:rFonts w:ascii="Palatino Linotype" w:hAnsi="Palatino Linotype"/>
        </w:rPr>
        <w:t xml:space="preserve">One may think that a difference between beliefs and emotions is exhibited in the way we can talk about them. </w:t>
      </w:r>
      <w:r w:rsidR="00BC4E21" w:rsidRPr="00A00299">
        <w:rPr>
          <w:rFonts w:ascii="Palatino Linotype" w:hAnsi="Palatino Linotype"/>
        </w:rPr>
        <w:t xml:space="preserve">Some think </w:t>
      </w:r>
      <w:r w:rsidR="006E083E" w:rsidRPr="00A00299">
        <w:rPr>
          <w:rFonts w:ascii="Palatino Linotype" w:hAnsi="Palatino Linotype"/>
        </w:rPr>
        <w:t>the</w:t>
      </w:r>
      <w:r w:rsidR="006B0159" w:rsidRPr="00A00299">
        <w:rPr>
          <w:rFonts w:ascii="Palatino Linotype" w:hAnsi="Palatino Linotype"/>
        </w:rPr>
        <w:t xml:space="preserve"> assert</w:t>
      </w:r>
      <w:r w:rsidR="006E083E" w:rsidRPr="00A00299">
        <w:rPr>
          <w:rFonts w:ascii="Palatino Linotype" w:hAnsi="Palatino Linotype"/>
        </w:rPr>
        <w:t>ion</w:t>
      </w:r>
      <w:r w:rsidR="006B0159" w:rsidRPr="00A00299">
        <w:rPr>
          <w:rFonts w:ascii="Palatino Linotype" w:hAnsi="Palatino Linotype"/>
        </w:rPr>
        <w:t xml:space="preserve"> </w:t>
      </w:r>
      <w:r w:rsidR="00BC4E21" w:rsidRPr="00A00299">
        <w:rPr>
          <w:rFonts w:ascii="Palatino Linotype" w:hAnsi="Palatino Linotype"/>
        </w:rPr>
        <w:t>“I believe p though my evidence does not support p”</w:t>
      </w:r>
      <w:r w:rsidR="006E083E" w:rsidRPr="00A00299">
        <w:rPr>
          <w:rFonts w:ascii="Palatino Linotype" w:hAnsi="Palatino Linotype"/>
        </w:rPr>
        <w:t xml:space="preserve"> is</w:t>
      </w:r>
      <w:r w:rsidR="00BC4E21" w:rsidRPr="00A00299">
        <w:rPr>
          <w:rFonts w:ascii="Palatino Linotype" w:hAnsi="Palatino Linotype"/>
        </w:rPr>
        <w:t xml:space="preserve"> just like the classic Moore-paradox</w:t>
      </w:r>
      <w:r w:rsidR="006E083E" w:rsidRPr="00A00299">
        <w:rPr>
          <w:rFonts w:ascii="Palatino Linotype" w:hAnsi="Palatino Linotype"/>
        </w:rPr>
        <w:t xml:space="preserve">ical </w:t>
      </w:r>
      <w:r w:rsidR="00BC4E21" w:rsidRPr="00A00299">
        <w:rPr>
          <w:rFonts w:ascii="Palatino Linotype" w:hAnsi="Palatino Linotype"/>
        </w:rPr>
        <w:t xml:space="preserve"> </w:t>
      </w:r>
      <w:r w:rsidR="006E083E" w:rsidRPr="00A00299">
        <w:rPr>
          <w:rFonts w:ascii="Palatino Linotype" w:hAnsi="Palatino Linotype"/>
        </w:rPr>
        <w:t>assertion</w:t>
      </w:r>
      <w:r w:rsidR="00BC4E21" w:rsidRPr="00A00299">
        <w:rPr>
          <w:rFonts w:ascii="Palatino Linotype" w:hAnsi="Palatino Linotype"/>
        </w:rPr>
        <w:t xml:space="preserve"> “I</w:t>
      </w:r>
      <w:r w:rsidR="006B0159" w:rsidRPr="00A00299">
        <w:rPr>
          <w:rFonts w:ascii="Palatino Linotype" w:hAnsi="Palatino Linotype"/>
        </w:rPr>
        <w:t>t is raining but I do not believe it is raining</w:t>
      </w:r>
      <w:r w:rsidR="0053650B" w:rsidRPr="00A00299">
        <w:rPr>
          <w:rFonts w:ascii="Palatino Linotype" w:hAnsi="Palatino Linotype"/>
        </w:rPr>
        <w:t>,</w:t>
      </w:r>
      <w:r w:rsidR="00BC4E21" w:rsidRPr="00A00299">
        <w:rPr>
          <w:rFonts w:ascii="Palatino Linotype" w:hAnsi="Palatino Linotype"/>
        </w:rPr>
        <w:t>”</w:t>
      </w:r>
      <w:r w:rsidR="0053650B" w:rsidRPr="00A00299">
        <w:rPr>
          <w:rFonts w:ascii="Palatino Linotype" w:hAnsi="Palatino Linotype"/>
        </w:rPr>
        <w:t xml:space="preserve"> namely that both are incoherent. </w:t>
      </w:r>
      <w:r w:rsidR="0053650B" w:rsidRPr="00A00299">
        <w:rPr>
          <w:rStyle w:val="FootnoteReference"/>
          <w:rFonts w:ascii="Palatino Linotype" w:hAnsi="Palatino Linotype"/>
        </w:rPr>
        <w:footnoteReference w:id="32"/>
      </w:r>
      <w:r w:rsidR="00BC4E21" w:rsidRPr="00A00299">
        <w:rPr>
          <w:rFonts w:ascii="Palatino Linotype" w:hAnsi="Palatino Linotype"/>
        </w:rPr>
        <w:t xml:space="preserve"> Whereas it does not seem </w:t>
      </w:r>
      <w:r w:rsidR="00AB021D" w:rsidRPr="00A00299">
        <w:rPr>
          <w:rFonts w:ascii="Palatino Linotype" w:hAnsi="Palatino Linotype"/>
        </w:rPr>
        <w:t>incoherent</w:t>
      </w:r>
      <w:r w:rsidR="00BC4E21" w:rsidRPr="00A00299">
        <w:rPr>
          <w:rFonts w:ascii="Palatino Linotype" w:hAnsi="Palatino Linotype"/>
        </w:rPr>
        <w:t xml:space="preserve"> to say “I fear p though my evidence does not support p being dangerous.” I have discussed the possibilit</w:t>
      </w:r>
      <w:r w:rsidR="006B0159" w:rsidRPr="00A00299">
        <w:rPr>
          <w:rFonts w:ascii="Palatino Linotype" w:hAnsi="Palatino Linotype"/>
        </w:rPr>
        <w:t>y of believing, in full conscious</w:t>
      </w:r>
      <w:r w:rsidR="00BC4E21" w:rsidRPr="00A00299">
        <w:rPr>
          <w:rFonts w:ascii="Palatino Linotype" w:hAnsi="Palatino Linotype"/>
        </w:rPr>
        <w:t xml:space="preserve">ness, something you do not have evidential </w:t>
      </w:r>
      <w:r w:rsidR="00AB021D" w:rsidRPr="00A00299">
        <w:rPr>
          <w:rFonts w:ascii="Palatino Linotype" w:hAnsi="Palatino Linotype"/>
        </w:rPr>
        <w:t>supp</w:t>
      </w:r>
      <w:r w:rsidR="006E083E" w:rsidRPr="00A00299">
        <w:rPr>
          <w:rFonts w:ascii="Palatino Linotype" w:hAnsi="Palatino Linotype"/>
        </w:rPr>
        <w:t>ort for at length elsewhere.</w:t>
      </w:r>
      <w:r w:rsidR="0053387D" w:rsidRPr="00A00299">
        <w:rPr>
          <w:rStyle w:val="FootnoteReference"/>
          <w:rFonts w:ascii="Palatino Linotype" w:hAnsi="Palatino Linotype"/>
        </w:rPr>
        <w:footnoteReference w:id="33"/>
      </w:r>
      <w:r w:rsidR="006E083E" w:rsidRPr="00A00299">
        <w:rPr>
          <w:rFonts w:ascii="Palatino Linotype" w:hAnsi="Palatino Linotype"/>
        </w:rPr>
        <w:t xml:space="preserve"> </w:t>
      </w:r>
      <w:r w:rsidR="0053387D" w:rsidRPr="00A00299">
        <w:rPr>
          <w:rFonts w:ascii="Palatino Linotype" w:hAnsi="Palatino Linotype"/>
        </w:rPr>
        <w:t>Even if such a</w:t>
      </w:r>
      <w:r w:rsidR="00355A46">
        <w:rPr>
          <w:rFonts w:ascii="Palatino Linotype" w:hAnsi="Palatino Linotype"/>
        </w:rPr>
        <w:t>n</w:t>
      </w:r>
      <w:r w:rsidR="0053387D" w:rsidRPr="00A00299">
        <w:rPr>
          <w:rFonts w:ascii="Palatino Linotype" w:hAnsi="Palatino Linotype"/>
        </w:rPr>
        <w:t xml:space="preserve"> asse</w:t>
      </w:r>
      <w:r w:rsidR="00B236C1" w:rsidRPr="00A00299">
        <w:rPr>
          <w:rFonts w:ascii="Palatino Linotype" w:hAnsi="Palatino Linotype"/>
        </w:rPr>
        <w:t>r</w:t>
      </w:r>
      <w:r w:rsidR="0053387D" w:rsidRPr="00A00299">
        <w:rPr>
          <w:rFonts w:ascii="Palatino Linotype" w:hAnsi="Palatino Linotype"/>
        </w:rPr>
        <w:t>tion</w:t>
      </w:r>
      <w:r w:rsidR="00AB021D" w:rsidRPr="00A00299">
        <w:rPr>
          <w:rFonts w:ascii="Palatino Linotype" w:hAnsi="Palatino Linotype"/>
        </w:rPr>
        <w:t xml:space="preserve"> is not incoherent though, as in the case of</w:t>
      </w:r>
      <w:r w:rsidR="00B236C1" w:rsidRPr="00A00299">
        <w:rPr>
          <w:rFonts w:ascii="Palatino Linotype" w:hAnsi="Palatino Linotype"/>
        </w:rPr>
        <w:t xml:space="preserve"> other </w:t>
      </w:r>
      <w:r w:rsidR="00AB021D" w:rsidRPr="00A00299">
        <w:rPr>
          <w:rFonts w:ascii="Palatino Linotype" w:hAnsi="Palatino Linotype"/>
        </w:rPr>
        <w:t xml:space="preserve"> emotions, it may display a kind of irrationality.</w:t>
      </w:r>
      <w:r w:rsidR="00BC4E21" w:rsidRPr="00A00299">
        <w:rPr>
          <w:rFonts w:ascii="Palatino Linotype" w:hAnsi="Palatino Linotype"/>
        </w:rPr>
        <w:t xml:space="preserve"> </w:t>
      </w:r>
      <w:r w:rsidR="007260DF" w:rsidRPr="00A00299">
        <w:rPr>
          <w:rFonts w:ascii="Palatino Linotype" w:hAnsi="Palatino Linotype"/>
        </w:rPr>
        <w:t xml:space="preserve">Beliefs, like fears, if central and powerful, can persist even when one’s reflective evaluations indicate one should not believe as one does. </w:t>
      </w:r>
      <w:r w:rsidR="0053650B" w:rsidRPr="00A00299">
        <w:rPr>
          <w:rFonts w:ascii="Palatino Linotype" w:eastAsia="Times New Roman" w:hAnsi="Palatino Linotype" w:cs="Times New Roman"/>
          <w:color w:val="000000"/>
        </w:rPr>
        <w:t xml:space="preserve">Consider someone who has grown up in a fundamentalist tradition and believes that the Bible is literally true. This person may come to conclude that this belief is unsupported, and that he should give it up. Now we can imagine that it would be very difficult to break the habit </w:t>
      </w:r>
      <w:r w:rsidR="0053650B" w:rsidRPr="00A00299">
        <w:rPr>
          <w:rFonts w:ascii="Palatino Linotype" w:eastAsia="Times New Roman" w:hAnsi="Palatino Linotype" w:cs="Times New Roman"/>
          <w:color w:val="000000"/>
        </w:rPr>
        <w:lastRenderedPageBreak/>
        <w:t>of believing something inculcated at a very early age and reinforced throughout one’s life—just as it is very difficult to give up smoking after twenty years even when one decides one should</w:t>
      </w:r>
      <w:r w:rsidR="00AB021D" w:rsidRPr="00A00299">
        <w:rPr>
          <w:rFonts w:ascii="Palatino Linotype" w:eastAsia="Times New Roman" w:hAnsi="Palatino Linotype" w:cs="Times New Roman"/>
          <w:color w:val="000000"/>
        </w:rPr>
        <w:t>.</w:t>
      </w:r>
      <w:r w:rsidR="00AB021D" w:rsidRPr="00A00299">
        <w:rPr>
          <w:rFonts w:ascii="Palatino Linotype" w:eastAsia="Times New Roman" w:hAnsi="Palatino Linotype" w:cs="Times New Roman"/>
        </w:rPr>
        <w:t xml:space="preserve"> </w:t>
      </w:r>
    </w:p>
    <w:p w14:paraId="6974A582" w14:textId="1C874FD2" w:rsidR="002C4DFB" w:rsidRPr="00A00299" w:rsidRDefault="002C4DFB" w:rsidP="002C4DFB">
      <w:pPr>
        <w:spacing w:line="480" w:lineRule="auto"/>
        <w:rPr>
          <w:rFonts w:ascii="Palatino Linotype" w:hAnsi="Palatino Linotype"/>
          <w:i/>
          <w:iCs/>
        </w:rPr>
      </w:pPr>
      <w:r w:rsidRPr="00A00299">
        <w:rPr>
          <w:rFonts w:ascii="Palatino Linotype" w:eastAsia="Times New Roman" w:hAnsi="Palatino Linotype" w:cs="Times New Roman"/>
        </w:rPr>
        <w:t xml:space="preserve">(iii) </w:t>
      </w:r>
      <w:r w:rsidRPr="00A00299">
        <w:rPr>
          <w:rFonts w:ascii="Palatino Linotype" w:eastAsia="Times New Roman" w:hAnsi="Palatino Linotype" w:cs="Times New Roman"/>
          <w:i/>
          <w:iCs/>
        </w:rPr>
        <w:t xml:space="preserve">Even when we know something is not the case, it can still seem to be. How are these </w:t>
      </w:r>
      <w:proofErr w:type="spellStart"/>
      <w:r w:rsidRPr="00A00299">
        <w:rPr>
          <w:rFonts w:ascii="Palatino Linotype" w:eastAsia="Times New Roman" w:hAnsi="Palatino Linotype" w:cs="Times New Roman"/>
          <w:i/>
          <w:iCs/>
        </w:rPr>
        <w:t>seemings</w:t>
      </w:r>
      <w:proofErr w:type="spellEnd"/>
      <w:r w:rsidRPr="00A00299">
        <w:rPr>
          <w:rFonts w:ascii="Palatino Linotype" w:eastAsia="Times New Roman" w:hAnsi="Palatino Linotype" w:cs="Times New Roman"/>
          <w:i/>
          <w:iCs/>
        </w:rPr>
        <w:t xml:space="preserve"> different from the feeling accompanying belief?</w:t>
      </w:r>
    </w:p>
    <w:p w14:paraId="7F02EA89" w14:textId="55E5F9D2" w:rsidR="005A368A" w:rsidRPr="00A00299" w:rsidRDefault="002C4DFB" w:rsidP="00FF0D93">
      <w:pPr>
        <w:spacing w:line="480" w:lineRule="auto"/>
        <w:ind w:firstLine="720"/>
        <w:rPr>
          <w:rFonts w:ascii="Palatino Linotype" w:hAnsi="Palatino Linotype"/>
        </w:rPr>
      </w:pPr>
      <w:r w:rsidRPr="00A00299">
        <w:rPr>
          <w:rFonts w:ascii="Palatino Linotype" w:hAnsi="Palatino Linotype"/>
        </w:rPr>
        <w:t>Even</w:t>
      </w:r>
      <w:r w:rsidR="005A42E9" w:rsidRPr="00A00299">
        <w:rPr>
          <w:rFonts w:ascii="Palatino Linotype" w:hAnsi="Palatino Linotype"/>
        </w:rPr>
        <w:t xml:space="preserve"> </w:t>
      </w:r>
      <w:r w:rsidR="009D5E4F" w:rsidRPr="00A00299">
        <w:rPr>
          <w:rFonts w:ascii="Palatino Linotype" w:hAnsi="Palatino Linotype"/>
        </w:rPr>
        <w:t>when you</w:t>
      </w:r>
      <w:r w:rsidR="005A42E9" w:rsidRPr="00A00299">
        <w:rPr>
          <w:rFonts w:ascii="Palatino Linotype" w:hAnsi="Palatino Linotype"/>
        </w:rPr>
        <w:t xml:space="preserve"> </w:t>
      </w:r>
      <w:r w:rsidR="009D5E4F" w:rsidRPr="00A00299">
        <w:rPr>
          <w:rFonts w:ascii="Palatino Linotype" w:hAnsi="Palatino Linotype"/>
          <w:i/>
        </w:rPr>
        <w:t>know</w:t>
      </w:r>
      <w:r w:rsidR="005A42E9" w:rsidRPr="00A00299">
        <w:rPr>
          <w:rFonts w:ascii="Palatino Linotype" w:hAnsi="Palatino Linotype"/>
          <w:i/>
        </w:rPr>
        <w:t xml:space="preserve"> </w:t>
      </w:r>
      <w:r w:rsidR="005A42E9" w:rsidRPr="00A00299">
        <w:rPr>
          <w:rFonts w:ascii="Palatino Linotype" w:hAnsi="Palatino Linotype"/>
        </w:rPr>
        <w:t xml:space="preserve">that the oar is </w:t>
      </w:r>
      <w:r w:rsidR="00166E66" w:rsidRPr="00A00299">
        <w:rPr>
          <w:rFonts w:ascii="Palatino Linotype" w:hAnsi="Palatino Linotype"/>
        </w:rPr>
        <w:t>straight though it looks bent,</w:t>
      </w:r>
      <w:r w:rsidR="009D5E4F" w:rsidRPr="00A00299">
        <w:rPr>
          <w:rFonts w:ascii="Palatino Linotype" w:hAnsi="Palatino Linotype"/>
        </w:rPr>
        <w:t xml:space="preserve"> or when you</w:t>
      </w:r>
      <w:r w:rsidR="005A42E9" w:rsidRPr="00A00299">
        <w:rPr>
          <w:rFonts w:ascii="Palatino Linotype" w:hAnsi="Palatino Linotype"/>
        </w:rPr>
        <w:t xml:space="preserve"> </w:t>
      </w:r>
      <w:r w:rsidR="009D5E4F" w:rsidRPr="00A00299">
        <w:rPr>
          <w:rFonts w:ascii="Palatino Linotype" w:hAnsi="Palatino Linotype"/>
          <w:i/>
        </w:rPr>
        <w:t>know</w:t>
      </w:r>
      <w:r w:rsidR="005A42E9" w:rsidRPr="00A00299">
        <w:rPr>
          <w:rFonts w:ascii="Palatino Linotype" w:hAnsi="Palatino Linotype"/>
        </w:rPr>
        <w:t xml:space="preserve"> the proper </w:t>
      </w:r>
      <w:r w:rsidR="009D5E4F" w:rsidRPr="00A00299">
        <w:rPr>
          <w:rFonts w:ascii="Palatino Linotype" w:hAnsi="Palatino Linotype"/>
        </w:rPr>
        <w:t>answer</w:t>
      </w:r>
      <w:r w:rsidR="005A42E9" w:rsidRPr="00A00299">
        <w:rPr>
          <w:rFonts w:ascii="Palatino Linotype" w:hAnsi="Palatino Linotype"/>
        </w:rPr>
        <w:t xml:space="preserve"> to the </w:t>
      </w:r>
      <w:r w:rsidR="00E52CE1" w:rsidRPr="00A00299">
        <w:rPr>
          <w:rFonts w:ascii="Palatino Linotype" w:hAnsi="Palatino Linotype"/>
        </w:rPr>
        <w:t xml:space="preserve">Monty Hall </w:t>
      </w:r>
      <w:r w:rsidR="00C809C3" w:rsidRPr="00A00299">
        <w:rPr>
          <w:rFonts w:ascii="Palatino Linotype" w:hAnsi="Palatino Linotype"/>
        </w:rPr>
        <w:t xml:space="preserve">puzzle even though </w:t>
      </w:r>
      <w:r w:rsidR="009D5E4F" w:rsidRPr="00A00299">
        <w:rPr>
          <w:rFonts w:ascii="Palatino Linotype" w:hAnsi="Palatino Linotype"/>
        </w:rPr>
        <w:t>you</w:t>
      </w:r>
      <w:r w:rsidR="00C809C3" w:rsidRPr="00A00299">
        <w:rPr>
          <w:rFonts w:ascii="Palatino Linotype" w:hAnsi="Palatino Linotype"/>
        </w:rPr>
        <w:t xml:space="preserve"> initially thought your chances of winning </w:t>
      </w:r>
      <w:r w:rsidR="009D5E4F" w:rsidRPr="00A00299">
        <w:rPr>
          <w:rFonts w:ascii="Palatino Linotype" w:hAnsi="Palatino Linotype"/>
        </w:rPr>
        <w:t xml:space="preserve">do not improve if you switch </w:t>
      </w:r>
      <w:r w:rsidR="00C809C3" w:rsidRPr="00A00299">
        <w:rPr>
          <w:rFonts w:ascii="Palatino Linotype" w:hAnsi="Palatino Linotype"/>
        </w:rPr>
        <w:t>your guess</w:t>
      </w:r>
      <w:r w:rsidRPr="00A00299">
        <w:rPr>
          <w:rFonts w:ascii="Palatino Linotype" w:hAnsi="Palatino Linotype"/>
        </w:rPr>
        <w:t>,</w:t>
      </w:r>
      <w:r w:rsidR="009B215D" w:rsidRPr="00A00299">
        <w:rPr>
          <w:rFonts w:ascii="Palatino Linotype" w:hAnsi="Palatino Linotype"/>
        </w:rPr>
        <w:t xml:space="preserve"> </w:t>
      </w:r>
      <w:r w:rsidR="009D5E4F" w:rsidRPr="00A00299">
        <w:rPr>
          <w:rStyle w:val="FootnoteReference"/>
          <w:rFonts w:ascii="Palatino Linotype" w:hAnsi="Palatino Linotype"/>
        </w:rPr>
        <w:footnoteReference w:id="34"/>
      </w:r>
      <w:r w:rsidR="009D5E4F" w:rsidRPr="00A00299">
        <w:rPr>
          <w:rFonts w:ascii="Palatino Linotype" w:hAnsi="Palatino Linotype"/>
        </w:rPr>
        <w:t xml:space="preserve"> </w:t>
      </w:r>
      <w:r w:rsidRPr="00A00299">
        <w:rPr>
          <w:rFonts w:ascii="Palatino Linotype" w:hAnsi="Palatino Linotype"/>
        </w:rPr>
        <w:t>it</w:t>
      </w:r>
      <w:r w:rsidR="00A5636A" w:rsidRPr="00A00299">
        <w:rPr>
          <w:rFonts w:ascii="Palatino Linotype" w:hAnsi="Palatino Linotype"/>
        </w:rPr>
        <w:t xml:space="preserve"> still </w:t>
      </w:r>
      <w:r w:rsidR="00A5636A" w:rsidRPr="00A00299">
        <w:rPr>
          <w:rFonts w:ascii="Palatino Linotype" w:hAnsi="Palatino Linotype"/>
          <w:i/>
        </w:rPr>
        <w:t>seems</w:t>
      </w:r>
      <w:r w:rsidR="00A5636A" w:rsidRPr="00A00299">
        <w:rPr>
          <w:rFonts w:ascii="Palatino Linotype" w:hAnsi="Palatino Linotype"/>
        </w:rPr>
        <w:t xml:space="preserve"> like the oar is </w:t>
      </w:r>
      <w:r w:rsidR="009D5E4F" w:rsidRPr="00A00299">
        <w:rPr>
          <w:rFonts w:ascii="Palatino Linotype" w:hAnsi="Palatino Linotype"/>
        </w:rPr>
        <w:t xml:space="preserve">bent when looking at, and the proper answer still </w:t>
      </w:r>
      <w:r w:rsidR="009D5E4F" w:rsidRPr="00A00299">
        <w:rPr>
          <w:rFonts w:ascii="Palatino Linotype" w:hAnsi="Palatino Linotype"/>
          <w:i/>
        </w:rPr>
        <w:t xml:space="preserve">feels </w:t>
      </w:r>
      <w:r w:rsidR="006E083E" w:rsidRPr="00A00299">
        <w:rPr>
          <w:rFonts w:ascii="Palatino Linotype" w:hAnsi="Palatino Linotype"/>
        </w:rPr>
        <w:t>counterintuiti</w:t>
      </w:r>
      <w:r w:rsidR="009D5E4F" w:rsidRPr="00A00299">
        <w:rPr>
          <w:rFonts w:ascii="Palatino Linotype" w:hAnsi="Palatino Linotype"/>
        </w:rPr>
        <w:t>ve.</w:t>
      </w:r>
      <w:r w:rsidR="009B215D" w:rsidRPr="00A00299">
        <w:rPr>
          <w:rFonts w:ascii="Palatino Linotype" w:hAnsi="Palatino Linotype"/>
        </w:rPr>
        <w:t xml:space="preserve"> </w:t>
      </w:r>
      <w:r w:rsidR="00A5636A" w:rsidRPr="00A00299">
        <w:rPr>
          <w:rFonts w:ascii="Palatino Linotype" w:hAnsi="Palatino Linotype"/>
        </w:rPr>
        <w:t>How is this seeming different from the feeling that accompanies belief?</w:t>
      </w:r>
      <w:r w:rsidR="00D11928" w:rsidRPr="00A00299">
        <w:rPr>
          <w:rFonts w:ascii="Palatino Linotype" w:hAnsi="Palatino Linotype"/>
        </w:rPr>
        <w:t xml:space="preserve"> </w:t>
      </w:r>
      <w:r w:rsidR="00A5636A" w:rsidRPr="00A00299">
        <w:rPr>
          <w:rFonts w:ascii="Palatino Linotype" w:hAnsi="Palatino Linotype"/>
        </w:rPr>
        <w:t xml:space="preserve"> </w:t>
      </w:r>
      <w:r w:rsidR="006E083E" w:rsidRPr="00A00299">
        <w:rPr>
          <w:rFonts w:ascii="Palatino Linotype" w:hAnsi="Palatino Linotype"/>
        </w:rPr>
        <w:t xml:space="preserve">One of the ingredients in </w:t>
      </w:r>
      <w:r w:rsidR="00854AB2" w:rsidRPr="00A00299">
        <w:rPr>
          <w:rFonts w:ascii="Palatino Linotype" w:hAnsi="Palatino Linotype"/>
        </w:rPr>
        <w:t xml:space="preserve">the </w:t>
      </w:r>
      <w:r w:rsidR="006E083E" w:rsidRPr="00A00299">
        <w:rPr>
          <w:rFonts w:ascii="Palatino Linotype" w:hAnsi="Palatino Linotype"/>
        </w:rPr>
        <w:t xml:space="preserve">blended belief-state are </w:t>
      </w:r>
      <w:r w:rsidR="009122A8" w:rsidRPr="00A00299">
        <w:rPr>
          <w:rFonts w:ascii="Palatino Linotype" w:hAnsi="Palatino Linotype"/>
        </w:rPr>
        <w:t>feeling</w:t>
      </w:r>
      <w:r w:rsidR="00854AB2" w:rsidRPr="00A00299">
        <w:rPr>
          <w:rFonts w:ascii="Palatino Linotype" w:hAnsi="Palatino Linotype"/>
        </w:rPr>
        <w:t xml:space="preserve">s that are much like those of these </w:t>
      </w:r>
      <w:proofErr w:type="spellStart"/>
      <w:r w:rsidR="00854AB2" w:rsidRPr="00A00299">
        <w:rPr>
          <w:rFonts w:ascii="Palatino Linotype" w:hAnsi="Palatino Linotype"/>
        </w:rPr>
        <w:t>seemings</w:t>
      </w:r>
      <w:proofErr w:type="spellEnd"/>
      <w:r w:rsidR="009122A8" w:rsidRPr="00A00299">
        <w:rPr>
          <w:rFonts w:ascii="Palatino Linotype" w:hAnsi="Palatino Linotype"/>
        </w:rPr>
        <w:t xml:space="preserve">, and if one didn’t have the reflective capacities to </w:t>
      </w:r>
      <w:r w:rsidR="007D2039" w:rsidRPr="00A00299">
        <w:rPr>
          <w:rFonts w:ascii="Palatino Linotype" w:hAnsi="Palatino Linotype"/>
        </w:rPr>
        <w:t>see otherwise one would believe</w:t>
      </w:r>
      <w:r w:rsidR="00854AB2" w:rsidRPr="00A00299">
        <w:rPr>
          <w:rFonts w:ascii="Palatino Linotype" w:hAnsi="Palatino Linotype"/>
        </w:rPr>
        <w:t>, for example, that</w:t>
      </w:r>
      <w:r w:rsidR="00803D37" w:rsidRPr="00A00299">
        <w:rPr>
          <w:rFonts w:ascii="Palatino Linotype" w:hAnsi="Palatino Linotype"/>
        </w:rPr>
        <w:t xml:space="preserve"> the oar is strai</w:t>
      </w:r>
      <w:r w:rsidR="002A5624" w:rsidRPr="00A00299">
        <w:rPr>
          <w:rFonts w:ascii="Palatino Linotype" w:hAnsi="Palatino Linotype"/>
        </w:rPr>
        <w:t>ght</w:t>
      </w:r>
      <w:r w:rsidR="007D2039" w:rsidRPr="00A00299">
        <w:rPr>
          <w:rFonts w:ascii="Palatino Linotype" w:hAnsi="Palatino Linotype"/>
        </w:rPr>
        <w:t>. Just like in the case of fear, one would not be afraid if one did not have the associated feelings, but one can have those feelings, recognize that they are unsupported</w:t>
      </w:r>
      <w:r w:rsidR="002A5624" w:rsidRPr="00A00299">
        <w:rPr>
          <w:rFonts w:ascii="Palatino Linotype" w:hAnsi="Palatino Linotype"/>
        </w:rPr>
        <w:t>,</w:t>
      </w:r>
      <w:r w:rsidR="007D2039" w:rsidRPr="00A00299">
        <w:rPr>
          <w:rFonts w:ascii="Palatino Linotype" w:hAnsi="Palatino Linotype"/>
        </w:rPr>
        <w:t xml:space="preserve"> and not be afraid. </w:t>
      </w:r>
      <w:r w:rsidR="00BA2B26" w:rsidRPr="00A00299">
        <w:rPr>
          <w:rFonts w:ascii="Palatino Linotype" w:hAnsi="Palatino Linotype"/>
        </w:rPr>
        <w:t>W</w:t>
      </w:r>
      <w:r w:rsidR="00E278B1" w:rsidRPr="00A00299">
        <w:rPr>
          <w:rFonts w:ascii="Palatino Linotype" w:hAnsi="Palatino Linotype"/>
        </w:rPr>
        <w:t>hen the feelings are strong</w:t>
      </w:r>
      <w:r w:rsidR="00BA2B26" w:rsidRPr="00A00299">
        <w:rPr>
          <w:rFonts w:ascii="Palatino Linotype" w:hAnsi="Palatino Linotype"/>
        </w:rPr>
        <w:t>, however,</w:t>
      </w:r>
      <w:r w:rsidR="00E278B1" w:rsidRPr="00A00299">
        <w:rPr>
          <w:rFonts w:ascii="Palatino Linotype" w:hAnsi="Palatino Linotype"/>
        </w:rPr>
        <w:t xml:space="preserve"> to remain unafraid is difficult. If belief is an emotion, then it is a blended state. Part of this blend includes a reflective endorsement of the belief when actively considered.  </w:t>
      </w:r>
    </w:p>
    <w:p w14:paraId="27D71C88" w14:textId="3D6BFE26" w:rsidR="008A5E23" w:rsidRPr="00A00299" w:rsidRDefault="002C4DFB" w:rsidP="00FF0D93">
      <w:pPr>
        <w:spacing w:line="480" w:lineRule="auto"/>
        <w:ind w:left="-90"/>
        <w:rPr>
          <w:rFonts w:ascii="Palatino Linotype" w:hAnsi="Palatino Linotype"/>
          <w:bCs/>
          <w:i/>
          <w:iCs/>
        </w:rPr>
      </w:pPr>
      <w:r w:rsidRPr="00A00299">
        <w:rPr>
          <w:rFonts w:ascii="Palatino Linotype" w:hAnsi="Palatino Linotype"/>
          <w:bCs/>
          <w:i/>
          <w:iCs/>
        </w:rPr>
        <w:t>(iv)</w:t>
      </w:r>
      <w:r w:rsidR="008A5E23" w:rsidRPr="00A00299">
        <w:rPr>
          <w:rFonts w:ascii="Palatino Linotype" w:hAnsi="Palatino Linotype"/>
          <w:bCs/>
          <w:i/>
          <w:iCs/>
        </w:rPr>
        <w:t xml:space="preserve"> Why must beliefs be emotions instead of just connected to them?</w:t>
      </w:r>
    </w:p>
    <w:p w14:paraId="2F46F069" w14:textId="0ECD4A39" w:rsidR="00EF2FFC" w:rsidRPr="00A00299" w:rsidRDefault="00EF2FFC" w:rsidP="008A5E23">
      <w:pPr>
        <w:spacing w:line="480" w:lineRule="auto"/>
        <w:ind w:left="-90"/>
        <w:rPr>
          <w:rFonts w:ascii="Palatino Linotype" w:hAnsi="Palatino Linotype"/>
        </w:rPr>
      </w:pPr>
      <w:r w:rsidRPr="00A00299">
        <w:rPr>
          <w:rFonts w:ascii="Palatino Linotype" w:hAnsi="Palatino Linotype"/>
        </w:rPr>
        <w:lastRenderedPageBreak/>
        <w:tab/>
      </w:r>
      <w:r w:rsidRPr="00A00299">
        <w:rPr>
          <w:rFonts w:ascii="Palatino Linotype" w:hAnsi="Palatino Linotype"/>
        </w:rPr>
        <w:tab/>
        <w:t xml:space="preserve">One may think that the kind of cases I have appealed to points to beliefs being closely associated with emotions, and even </w:t>
      </w:r>
      <w:r w:rsidRPr="00A00299">
        <w:rPr>
          <w:rFonts w:ascii="Palatino Linotype" w:hAnsi="Palatino Linotype"/>
          <w:i/>
        </w:rPr>
        <w:t xml:space="preserve">caused </w:t>
      </w:r>
      <w:r w:rsidRPr="00A00299">
        <w:rPr>
          <w:rFonts w:ascii="Palatino Linotype" w:hAnsi="Palatino Linotype"/>
        </w:rPr>
        <w:t xml:space="preserve">by them, but that the feelings are independent of the belief, and that we have no reason to think that there is an actual feeling component that is </w:t>
      </w:r>
      <w:r w:rsidRPr="00A00299">
        <w:rPr>
          <w:rFonts w:ascii="Palatino Linotype" w:hAnsi="Palatino Linotype"/>
          <w:i/>
        </w:rPr>
        <w:t xml:space="preserve">part </w:t>
      </w:r>
      <w:r w:rsidRPr="00A00299">
        <w:rPr>
          <w:rFonts w:ascii="Palatino Linotype" w:hAnsi="Palatino Linotype"/>
        </w:rPr>
        <w:t>of the belief.</w:t>
      </w:r>
      <w:r w:rsidRPr="00A00299">
        <w:rPr>
          <w:rStyle w:val="FootnoteReference"/>
          <w:rFonts w:ascii="Palatino Linotype" w:hAnsi="Palatino Linotype"/>
        </w:rPr>
        <w:footnoteReference w:id="35"/>
      </w:r>
      <w:r w:rsidRPr="00A00299">
        <w:rPr>
          <w:rFonts w:ascii="Palatino Linotype" w:hAnsi="Palatino Linotype"/>
        </w:rPr>
        <w:t xml:space="preserve"> But explaining the connection while holding on to the </w:t>
      </w:r>
      <w:r w:rsidR="00A17DBB" w:rsidRPr="00A00299">
        <w:rPr>
          <w:rFonts w:ascii="Palatino Linotype" w:hAnsi="Palatino Linotype"/>
        </w:rPr>
        <w:t>cognitive</w:t>
      </w:r>
      <w:r w:rsidRPr="00A00299">
        <w:rPr>
          <w:rFonts w:ascii="Palatino Linotype" w:hAnsi="Palatino Linotype"/>
        </w:rPr>
        <w:t xml:space="preserve"> view of belief is difficult. Consider the belief “abortion is murder.” On the </w:t>
      </w:r>
      <w:r w:rsidR="00A17DBB" w:rsidRPr="00A00299">
        <w:rPr>
          <w:rFonts w:ascii="Palatino Linotype" w:hAnsi="Palatino Linotype"/>
        </w:rPr>
        <w:t>cognitive</w:t>
      </w:r>
      <w:r w:rsidRPr="00A00299">
        <w:rPr>
          <w:rFonts w:ascii="Palatino Linotype" w:hAnsi="Palatino Linotype"/>
        </w:rPr>
        <w:t xml:space="preserve"> view the belief itself is simply a response to the evidence as it appears to one, a cognitive endorsement that this is an accurate representation of reality. The negative emotions associated with it may be anger and disgust toward people one sees as murderers, perhaps also feelings of pride, or righteousness, maybe a desire to see abortion made illegal, perpetrators punished, or </w:t>
      </w:r>
      <w:r w:rsidR="00344567" w:rsidRPr="00A00299">
        <w:rPr>
          <w:rFonts w:ascii="Palatino Linotype" w:hAnsi="Palatino Linotype"/>
        </w:rPr>
        <w:t xml:space="preserve">a </w:t>
      </w:r>
      <w:r w:rsidRPr="00A00299">
        <w:rPr>
          <w:rFonts w:ascii="Palatino Linotype" w:hAnsi="Palatino Linotype"/>
        </w:rPr>
        <w:t xml:space="preserve">more general desire to promote good and minimize evil. And the idea is all these feelings are related in certain ways to the belief, but are not part of the belief itself. This way of seeing things has given rise to one of the central difficulties that has been troubling meta-ethicists for years. It is often thought that moral beliefs are inherently motivating in that they provide one with </w:t>
      </w:r>
      <w:r w:rsidRPr="00A00299">
        <w:rPr>
          <w:rFonts w:ascii="Palatino Linotype" w:hAnsi="Palatino Linotype"/>
        </w:rPr>
        <w:lastRenderedPageBreak/>
        <w:t xml:space="preserve">some reason to act (or not act) in the way that the proposition supports.  But if they are really </w:t>
      </w:r>
      <w:r w:rsidRPr="00A00299">
        <w:rPr>
          <w:rFonts w:ascii="Palatino Linotype" w:hAnsi="Palatino Linotype"/>
          <w:i/>
        </w:rPr>
        <w:t xml:space="preserve">beliefs </w:t>
      </w:r>
      <w:r w:rsidRPr="00A00299">
        <w:rPr>
          <w:rFonts w:ascii="Palatino Linotype" w:hAnsi="Palatino Linotype"/>
        </w:rPr>
        <w:t>and</w:t>
      </w:r>
      <w:r w:rsidR="000633A7" w:rsidRPr="00A00299">
        <w:rPr>
          <w:rFonts w:ascii="Palatino Linotype" w:hAnsi="Palatino Linotype"/>
        </w:rPr>
        <w:t xml:space="preserve"> </w:t>
      </w:r>
      <w:r w:rsidR="002A2DB5" w:rsidRPr="00A00299">
        <w:rPr>
          <w:rFonts w:ascii="Palatino Linotype" w:hAnsi="Palatino Linotype"/>
        </w:rPr>
        <w:t xml:space="preserve">beliefs </w:t>
      </w:r>
      <w:r w:rsidR="003D294B" w:rsidRPr="00A00299">
        <w:rPr>
          <w:rFonts w:ascii="Palatino Linotype" w:hAnsi="Palatino Linotype"/>
        </w:rPr>
        <w:t>are purely cognitive</w:t>
      </w:r>
      <w:r w:rsidRPr="00A00299">
        <w:rPr>
          <w:rFonts w:ascii="Palatino Linotype" w:hAnsi="Palatino Linotype"/>
        </w:rPr>
        <w:t xml:space="preserve">, this is problematic.  </w:t>
      </w:r>
    </w:p>
    <w:p w14:paraId="4F81A6E3" w14:textId="24DC9573" w:rsidR="00EF2FFC" w:rsidRPr="00A00299" w:rsidRDefault="00EF2FFC" w:rsidP="00FF0D93">
      <w:pPr>
        <w:spacing w:line="480" w:lineRule="auto"/>
        <w:rPr>
          <w:rFonts w:ascii="Palatino Linotype" w:hAnsi="Palatino Linotype"/>
        </w:rPr>
      </w:pPr>
      <w:r w:rsidRPr="00A00299">
        <w:rPr>
          <w:rFonts w:ascii="Palatino Linotype" w:hAnsi="Palatino Linotype"/>
        </w:rPr>
        <w:tab/>
        <w:t xml:space="preserve">This issue has been addressed in many ways, but I want to draw attention to the response that recognizes that these </w:t>
      </w:r>
      <w:r w:rsidR="002C4DFB" w:rsidRPr="00A00299">
        <w:rPr>
          <w:rFonts w:ascii="Palatino Linotype" w:hAnsi="Palatino Linotype"/>
        </w:rPr>
        <w:t>judgments</w:t>
      </w:r>
      <w:r w:rsidRPr="00A00299">
        <w:rPr>
          <w:rFonts w:ascii="Palatino Linotype" w:hAnsi="Palatino Linotype"/>
        </w:rPr>
        <w:t xml:space="preserve"> have a non-cognitive element at the same time that they purport to capture the truth. Michael Ridge (2014) has called these approaches “ecumenical” because they find some way of unifying the cognitivists and the non-cognitivists. As his discussion shows there are many different ways of doing this, all of which come with some advantages and disadvantages. I am not here concerned with the details but, rather, this shows that the notion of such a “hybrid state” is not</w:t>
      </w:r>
      <w:r w:rsidR="00A52ABB" w:rsidRPr="00A00299">
        <w:rPr>
          <w:rFonts w:ascii="Palatino Linotype" w:hAnsi="Palatino Linotype"/>
        </w:rPr>
        <w:t xml:space="preserve"> en</w:t>
      </w:r>
      <w:r w:rsidR="00AC5517" w:rsidRPr="00A00299">
        <w:rPr>
          <w:rFonts w:ascii="Palatino Linotype" w:hAnsi="Palatino Linotype"/>
        </w:rPr>
        <w:t>ti</w:t>
      </w:r>
      <w:r w:rsidR="00A52ABB" w:rsidRPr="00A00299">
        <w:rPr>
          <w:rFonts w:ascii="Palatino Linotype" w:hAnsi="Palatino Linotype"/>
        </w:rPr>
        <w:t>rely</w:t>
      </w:r>
      <w:r w:rsidRPr="00A00299">
        <w:rPr>
          <w:rFonts w:ascii="Palatino Linotype" w:hAnsi="Palatino Linotype"/>
        </w:rPr>
        <w:t xml:space="preserve"> unfamiliar. </w:t>
      </w:r>
    </w:p>
    <w:p w14:paraId="70C2631B" w14:textId="09C19A25" w:rsidR="00EF2FFC" w:rsidRPr="00A00299" w:rsidRDefault="00EF2FFC" w:rsidP="00FF0D93">
      <w:pPr>
        <w:spacing w:line="480" w:lineRule="auto"/>
        <w:rPr>
          <w:rFonts w:ascii="Palatino Linotype" w:hAnsi="Palatino Linotype"/>
        </w:rPr>
      </w:pPr>
      <w:r w:rsidRPr="00A00299">
        <w:rPr>
          <w:rFonts w:ascii="Palatino Linotype" w:hAnsi="Palatino Linotype"/>
        </w:rPr>
        <w:tab/>
        <w:t>Now it may s</w:t>
      </w:r>
      <w:r w:rsidR="00660162" w:rsidRPr="00A00299">
        <w:rPr>
          <w:rFonts w:ascii="Palatino Linotype" w:hAnsi="Palatino Linotype"/>
        </w:rPr>
        <w:t>eem odd for me to refer to this</w:t>
      </w:r>
      <w:r w:rsidRPr="00A00299">
        <w:rPr>
          <w:rFonts w:ascii="Palatino Linotype" w:hAnsi="Palatino Linotype"/>
        </w:rPr>
        <w:t xml:space="preserve"> e</w:t>
      </w:r>
      <w:r w:rsidR="00660162" w:rsidRPr="00A00299">
        <w:rPr>
          <w:rFonts w:ascii="Palatino Linotype" w:hAnsi="Palatino Linotype"/>
        </w:rPr>
        <w:t xml:space="preserve">xample </w:t>
      </w:r>
      <w:r w:rsidRPr="00A00299">
        <w:rPr>
          <w:rFonts w:ascii="Palatino Linotype" w:hAnsi="Palatino Linotype"/>
        </w:rPr>
        <w:t>as supportive</w:t>
      </w:r>
      <w:r w:rsidR="006E083E" w:rsidRPr="00A00299">
        <w:rPr>
          <w:rFonts w:ascii="Palatino Linotype" w:hAnsi="Palatino Linotype"/>
        </w:rPr>
        <w:t xml:space="preserve"> because</w:t>
      </w:r>
      <w:r w:rsidRPr="00A00299">
        <w:rPr>
          <w:rFonts w:ascii="Palatino Linotype" w:hAnsi="Palatino Linotype"/>
        </w:rPr>
        <w:t xml:space="preserve"> when the ecumenical expressivist claims that moral judgments have cognitive elements, what they usually </w:t>
      </w:r>
      <w:r w:rsidRPr="00A00299">
        <w:rPr>
          <w:rFonts w:ascii="Palatino Linotype" w:hAnsi="Palatino Linotype"/>
          <w:i/>
        </w:rPr>
        <w:t xml:space="preserve">mean </w:t>
      </w:r>
      <w:r w:rsidRPr="00A00299">
        <w:rPr>
          <w:rFonts w:ascii="Palatino Linotype" w:hAnsi="Palatino Linotype"/>
        </w:rPr>
        <w:t xml:space="preserve">is that these states include a belief-like element.  So to say there is a non-cognitive element in belief can sound like I am saying that there is </w:t>
      </w:r>
      <w:r w:rsidR="00660162" w:rsidRPr="00A00299">
        <w:rPr>
          <w:rFonts w:ascii="Palatino Linotype" w:hAnsi="Palatino Linotype"/>
        </w:rPr>
        <w:t xml:space="preserve">a </w:t>
      </w:r>
      <w:r w:rsidRPr="00A00299">
        <w:rPr>
          <w:rFonts w:ascii="Palatino Linotype" w:hAnsi="Palatino Linotype"/>
        </w:rPr>
        <w:t xml:space="preserve">non-belief element in belief. But part of my point is to put into question this identification. </w:t>
      </w:r>
      <w:r w:rsidR="003D294B" w:rsidRPr="00A00299">
        <w:rPr>
          <w:rFonts w:ascii="Palatino Linotype" w:hAnsi="Palatino Linotype"/>
        </w:rPr>
        <w:t xml:space="preserve"> Meta-ethic</w:t>
      </w:r>
      <w:r w:rsidR="00470D20" w:rsidRPr="00A00299">
        <w:rPr>
          <w:rFonts w:ascii="Palatino Linotype" w:hAnsi="Palatino Linotype"/>
        </w:rPr>
        <w:t xml:space="preserve">ists are right to say that </w:t>
      </w:r>
      <w:r w:rsidR="003D294B" w:rsidRPr="00A00299">
        <w:rPr>
          <w:rFonts w:ascii="Palatino Linotype" w:hAnsi="Palatino Linotype"/>
        </w:rPr>
        <w:t xml:space="preserve">moral beliefs contain a cognitive element, as well as a </w:t>
      </w:r>
      <w:r w:rsidR="00557E65" w:rsidRPr="00A00299">
        <w:rPr>
          <w:rFonts w:ascii="Palatino Linotype" w:hAnsi="Palatino Linotype"/>
        </w:rPr>
        <w:t>non-cognitive</w:t>
      </w:r>
      <w:r w:rsidR="003D294B" w:rsidRPr="00A00299">
        <w:rPr>
          <w:rFonts w:ascii="Palatino Linotype" w:hAnsi="Palatino Linotype"/>
        </w:rPr>
        <w:t xml:space="preserve"> element. Where they are mistaken</w:t>
      </w:r>
      <w:r w:rsidR="00557E65" w:rsidRPr="00A00299">
        <w:rPr>
          <w:rFonts w:ascii="Palatino Linotype" w:hAnsi="Palatino Linotype"/>
        </w:rPr>
        <w:t>,</w:t>
      </w:r>
      <w:r w:rsidR="003D294B" w:rsidRPr="00A00299">
        <w:rPr>
          <w:rFonts w:ascii="Palatino Linotype" w:hAnsi="Palatino Linotype"/>
        </w:rPr>
        <w:t xml:space="preserve"> I contend, is in thinking there is anything peculiar about this; these elements are there in all beliefs. </w:t>
      </w:r>
      <w:r w:rsidRPr="00A00299">
        <w:rPr>
          <w:rFonts w:ascii="Palatino Linotype" w:hAnsi="Palatino Linotype"/>
        </w:rPr>
        <w:t xml:space="preserve">There is something to belief beyond intellectual processing, and it is not only when beliefs go wrong that there is </w:t>
      </w:r>
      <w:r w:rsidRPr="00A00299">
        <w:rPr>
          <w:rFonts w:ascii="Palatino Linotype" w:hAnsi="Palatino Linotype"/>
        </w:rPr>
        <w:lastRenderedPageBreak/>
        <w:t xml:space="preserve">more to them. To put another way, machines can have cognitions of some kind, but they cannot have beliefs. </w:t>
      </w:r>
      <w:r w:rsidR="00F63108" w:rsidRPr="00A00299">
        <w:rPr>
          <w:rStyle w:val="FootnoteReference"/>
          <w:rFonts w:ascii="Palatino Linotype" w:hAnsi="Palatino Linotype"/>
        </w:rPr>
        <w:footnoteReference w:id="36"/>
      </w:r>
    </w:p>
    <w:p w14:paraId="1371043F" w14:textId="724A8BF8" w:rsidR="00360168" w:rsidRPr="00A00299" w:rsidRDefault="00EF2FFC" w:rsidP="002C4DFB">
      <w:pPr>
        <w:spacing w:line="480" w:lineRule="auto"/>
        <w:rPr>
          <w:rFonts w:ascii="Palatino Linotype" w:hAnsi="Palatino Linotype"/>
        </w:rPr>
      </w:pPr>
      <w:r w:rsidRPr="00A00299">
        <w:rPr>
          <w:rFonts w:ascii="Palatino Linotype" w:hAnsi="Palatino Linotype"/>
        </w:rPr>
        <w:tab/>
        <w:t xml:space="preserve"> </w:t>
      </w:r>
      <w:r w:rsidR="00360168" w:rsidRPr="00A00299">
        <w:rPr>
          <w:rFonts w:ascii="Palatino Linotype" w:hAnsi="Palatino Linotype"/>
        </w:rPr>
        <w:t xml:space="preserve">Thought of in a certain way, the kind of hybridity endorsed by Ridge may seem very different from how I am suggesting we think about beliefs. Ridge thinks of these normative beliefs as a compound of two distinct states that are, in principle, separable. </w:t>
      </w:r>
      <w:r w:rsidR="002C4DFB" w:rsidRPr="00A00299">
        <w:rPr>
          <w:rFonts w:ascii="Palatino Linotype" w:hAnsi="Palatino Linotype"/>
        </w:rPr>
        <w:t>As discussed above, I see</w:t>
      </w:r>
      <w:r w:rsidR="00360168" w:rsidRPr="00A00299">
        <w:rPr>
          <w:rFonts w:ascii="Palatino Linotype" w:hAnsi="Palatino Linotype"/>
        </w:rPr>
        <w:t xml:space="preserve"> the hybridity as more like a blended state than a compound one. It could be, then, that the kind of hybridity suggested by theorists who posit what have come to be called “</w:t>
      </w:r>
      <w:proofErr w:type="spellStart"/>
      <w:r w:rsidR="00360168" w:rsidRPr="00A00299">
        <w:rPr>
          <w:rFonts w:ascii="Palatino Linotype" w:hAnsi="Palatino Linotype"/>
        </w:rPr>
        <w:t>besires</w:t>
      </w:r>
      <w:proofErr w:type="spellEnd"/>
      <w:r w:rsidR="00360168" w:rsidRPr="00A00299">
        <w:rPr>
          <w:rFonts w:ascii="Palatino Linotype" w:hAnsi="Palatino Linotype"/>
        </w:rPr>
        <w:t xml:space="preserve">,” namely states that incorporate both representational and motivational elements (but are not divisible into a representational and a motivational conjuncts) is closer to what I have in mind. While I do see such accounts as helpful to my </w:t>
      </w:r>
      <w:r w:rsidR="00AE779F" w:rsidRPr="00A00299">
        <w:rPr>
          <w:rFonts w:ascii="Palatino Linotype" w:hAnsi="Palatino Linotype"/>
        </w:rPr>
        <w:t>view</w:t>
      </w:r>
      <w:r w:rsidR="00360168" w:rsidRPr="00A00299">
        <w:rPr>
          <w:rFonts w:ascii="Palatino Linotype" w:hAnsi="Palatino Linotype"/>
        </w:rPr>
        <w:t xml:space="preserve"> insofar as they are endorsing the idea that one state can have more than one direction of fit, and allow for “cognitive-passionate hybrid states” (</w:t>
      </w:r>
      <w:proofErr w:type="spellStart"/>
      <w:r w:rsidR="00360168" w:rsidRPr="00A00299">
        <w:rPr>
          <w:rFonts w:ascii="Palatino Linotype" w:hAnsi="Palatino Linotype"/>
        </w:rPr>
        <w:t>Swartzer</w:t>
      </w:r>
      <w:proofErr w:type="spellEnd"/>
      <w:r w:rsidR="00360168" w:rsidRPr="00A00299">
        <w:rPr>
          <w:rFonts w:ascii="Palatino Linotype" w:hAnsi="Palatino Linotype"/>
        </w:rPr>
        <w:t xml:space="preserve"> 2013), what I am urging is that we do not need to posit a new mental state; rather we need to see that beliefs themselves incorporate these elements.</w:t>
      </w:r>
    </w:p>
    <w:p w14:paraId="0C150964" w14:textId="5136AEAF" w:rsidR="001926E5" w:rsidRPr="00A00299" w:rsidRDefault="001926E5" w:rsidP="002C4DFB">
      <w:pPr>
        <w:spacing w:line="480" w:lineRule="auto"/>
        <w:rPr>
          <w:rFonts w:ascii="Palatino Linotype" w:hAnsi="Palatino Linotype"/>
          <w:i/>
          <w:iCs/>
        </w:rPr>
      </w:pPr>
      <w:r w:rsidRPr="00A00299">
        <w:rPr>
          <w:rFonts w:ascii="Palatino Linotype" w:hAnsi="Palatino Linotype"/>
          <w:i/>
          <w:iCs/>
        </w:rPr>
        <w:t>(v) Does this view imply that young children and animals do not have beliefs</w:t>
      </w:r>
      <w:r w:rsidR="00914067" w:rsidRPr="00A00299">
        <w:rPr>
          <w:rFonts w:ascii="Palatino Linotype" w:hAnsi="Palatino Linotype"/>
          <w:i/>
          <w:iCs/>
        </w:rPr>
        <w:t>?</w:t>
      </w:r>
    </w:p>
    <w:p w14:paraId="39D85E52" w14:textId="26EEE5BF" w:rsidR="00914067" w:rsidRPr="00A00299" w:rsidRDefault="00914067" w:rsidP="004D1B8A">
      <w:pPr>
        <w:spacing w:line="480" w:lineRule="auto"/>
        <w:ind w:firstLine="720"/>
        <w:rPr>
          <w:rFonts w:ascii="Palatino Linotype" w:hAnsi="Palatino Linotype"/>
        </w:rPr>
      </w:pPr>
      <w:r w:rsidRPr="00A00299">
        <w:rPr>
          <w:rFonts w:ascii="Palatino Linotype" w:hAnsi="Palatino Linotype"/>
        </w:rPr>
        <w:t xml:space="preserve">A worry that arises for cognitive theories of emotion is that </w:t>
      </w:r>
      <w:r w:rsidR="008904FD" w:rsidRPr="00A00299">
        <w:rPr>
          <w:rFonts w:ascii="Palatino Linotype" w:hAnsi="Palatino Linotype"/>
        </w:rPr>
        <w:t>they seem to exclude non-human animals and young children from experienc</w:t>
      </w:r>
      <w:r w:rsidR="00B4279D">
        <w:rPr>
          <w:rFonts w:ascii="Palatino Linotype" w:hAnsi="Palatino Linotype"/>
        </w:rPr>
        <w:t>ing</w:t>
      </w:r>
      <w:r w:rsidR="008904FD" w:rsidRPr="00A00299">
        <w:rPr>
          <w:rFonts w:ascii="Palatino Linotype" w:hAnsi="Palatino Linotype"/>
        </w:rPr>
        <w:t xml:space="preserve"> emotions since they cannot make evaluative judgments. Must one possess the concept of </w:t>
      </w:r>
      <w:r w:rsidR="008904FD" w:rsidRPr="00A00299">
        <w:rPr>
          <w:rFonts w:ascii="Palatino Linotype" w:hAnsi="Palatino Linotype"/>
        </w:rPr>
        <w:lastRenderedPageBreak/>
        <w:t xml:space="preserve">fear or </w:t>
      </w:r>
      <w:proofErr w:type="spellStart"/>
      <w:r w:rsidR="008904FD" w:rsidRPr="00A00299">
        <w:rPr>
          <w:rFonts w:ascii="Palatino Linotype" w:hAnsi="Palatino Linotype"/>
        </w:rPr>
        <w:t>f</w:t>
      </w:r>
      <w:r w:rsidR="00355A46">
        <w:rPr>
          <w:rFonts w:ascii="Palatino Linotype" w:hAnsi="Palatino Linotype"/>
        </w:rPr>
        <w:t>the</w:t>
      </w:r>
      <w:proofErr w:type="spellEnd"/>
      <w:r w:rsidR="00355A46">
        <w:rPr>
          <w:rFonts w:ascii="Palatino Linotype" w:hAnsi="Palatino Linotype"/>
        </w:rPr>
        <w:t xml:space="preserve"> </w:t>
      </w:r>
      <w:proofErr w:type="spellStart"/>
      <w:r w:rsidR="008904FD" w:rsidRPr="00A00299">
        <w:rPr>
          <w:rFonts w:ascii="Palatino Linotype" w:hAnsi="Palatino Linotype"/>
        </w:rPr>
        <w:t>earsome</w:t>
      </w:r>
      <w:proofErr w:type="spellEnd"/>
      <w:r w:rsidR="008904FD" w:rsidRPr="00A00299">
        <w:rPr>
          <w:rFonts w:ascii="Palatino Linotype" w:hAnsi="Palatino Linotype"/>
        </w:rPr>
        <w:t xml:space="preserve"> in order to </w:t>
      </w:r>
      <w:r w:rsidR="008904FD" w:rsidRPr="00A00299">
        <w:rPr>
          <w:rFonts w:ascii="Palatino Linotype" w:hAnsi="Palatino Linotype"/>
          <w:i/>
          <w:iCs/>
        </w:rPr>
        <w:t xml:space="preserve">feel </w:t>
      </w:r>
      <w:r w:rsidR="008904FD" w:rsidRPr="00A00299">
        <w:rPr>
          <w:rFonts w:ascii="Palatino Linotype" w:hAnsi="Palatino Linotype"/>
        </w:rPr>
        <w:t xml:space="preserve">afraid? Marianna Bergamaschi </w:t>
      </w:r>
      <w:proofErr w:type="spellStart"/>
      <w:r w:rsidR="008904FD" w:rsidRPr="00A00299">
        <w:rPr>
          <w:rFonts w:ascii="Palatino Linotype" w:hAnsi="Palatino Linotype"/>
        </w:rPr>
        <w:t>Ganapini</w:t>
      </w:r>
      <w:proofErr w:type="spellEnd"/>
      <w:r w:rsidR="004D1B8A" w:rsidRPr="00A00299">
        <w:rPr>
          <w:rFonts w:ascii="Palatino Linotype" w:hAnsi="Palatino Linotype"/>
        </w:rPr>
        <w:t xml:space="preserve"> (2019)</w:t>
      </w:r>
      <w:r w:rsidR="008904FD" w:rsidRPr="00A00299">
        <w:rPr>
          <w:rFonts w:ascii="Palatino Linotype" w:hAnsi="Palatino Linotype"/>
        </w:rPr>
        <w:t xml:space="preserve"> has recently brought up a similar objection to theories which attempt to distinguish beliefs f</w:t>
      </w:r>
      <w:r w:rsidR="004D1B8A" w:rsidRPr="00A00299">
        <w:rPr>
          <w:rFonts w:ascii="Palatino Linotype" w:hAnsi="Palatino Linotype"/>
        </w:rPr>
        <w:t xml:space="preserve">rom other attitudes by appealing to their “feeling of truth”: “Non-human animals and babies have beliefs but they arguably lack the ability to assert or have any ‘sense of truth.’” </w:t>
      </w:r>
    </w:p>
    <w:p w14:paraId="5D65AEA4" w14:textId="2A80705C" w:rsidR="004D1B8A" w:rsidRPr="00A00299" w:rsidRDefault="004D1B8A" w:rsidP="00887E32">
      <w:pPr>
        <w:spacing w:line="480" w:lineRule="auto"/>
        <w:ind w:firstLine="720"/>
        <w:rPr>
          <w:rFonts w:ascii="Palatino Linotype" w:hAnsi="Palatino Linotype"/>
        </w:rPr>
      </w:pPr>
      <w:r w:rsidRPr="00A00299">
        <w:rPr>
          <w:rFonts w:ascii="Palatino Linotype" w:hAnsi="Palatino Linotype"/>
        </w:rPr>
        <w:t>My view does not require that one has the concept of “truth” or “rightness” to b</w:t>
      </w:r>
      <w:r w:rsidR="00D837C3" w:rsidRPr="00A00299">
        <w:rPr>
          <w:rFonts w:ascii="Palatino Linotype" w:hAnsi="Palatino Linotype"/>
        </w:rPr>
        <w:t xml:space="preserve">e a believer. The feeling is one associated with expectations and dispositions that babies and non-human animals share with adult humans. Christine </w:t>
      </w:r>
      <w:proofErr w:type="spellStart"/>
      <w:r w:rsidR="00D837C3" w:rsidRPr="00A00299">
        <w:rPr>
          <w:rFonts w:ascii="Palatino Linotype" w:hAnsi="Palatino Linotype"/>
        </w:rPr>
        <w:t>Tappolet</w:t>
      </w:r>
      <w:proofErr w:type="spellEnd"/>
      <w:r w:rsidR="00D837C3" w:rsidRPr="00A00299">
        <w:rPr>
          <w:rFonts w:ascii="Palatino Linotype" w:hAnsi="Palatino Linotype"/>
        </w:rPr>
        <w:t xml:space="preserve"> argues that an advantage of the perceptual theory is it takes the “representational content of emotions to be non-conceptual” (2016, 16)</w:t>
      </w:r>
      <w:r w:rsidR="009F150F" w:rsidRPr="00A00299">
        <w:rPr>
          <w:rFonts w:ascii="Palatino Linotype" w:hAnsi="Palatino Linotype"/>
        </w:rPr>
        <w:t xml:space="preserve"> even though “emotions can, and often do, involve conceptually articulated contents.” (2016, 18).  The content of beliefs can almost always be so articulated by adult humans, </w:t>
      </w:r>
      <w:r w:rsidR="00887E32">
        <w:rPr>
          <w:rFonts w:ascii="Palatino Linotype" w:hAnsi="Palatino Linotype"/>
        </w:rPr>
        <w:t>but that</w:t>
      </w:r>
      <w:r w:rsidR="009F150F" w:rsidRPr="00A00299">
        <w:rPr>
          <w:rFonts w:ascii="Palatino Linotype" w:hAnsi="Palatino Linotype"/>
        </w:rPr>
        <w:t xml:space="preserve"> does not mean that the “evaluative appraisal” that the world is as it appears to be need be conceptual any more than the “evaluative appraisal” that is represented in the experience of fear needs to include the concept of fearsome or dangerous.</w:t>
      </w:r>
    </w:p>
    <w:p w14:paraId="3F40C419" w14:textId="26950DF2" w:rsidR="00821C67" w:rsidRPr="00A00299" w:rsidRDefault="002C4DFB" w:rsidP="00821C67">
      <w:pPr>
        <w:spacing w:line="480" w:lineRule="auto"/>
        <w:rPr>
          <w:rFonts w:ascii="Palatino Linotype" w:hAnsi="Palatino Linotype"/>
          <w:b/>
        </w:rPr>
      </w:pPr>
      <w:r w:rsidRPr="00A00299">
        <w:rPr>
          <w:rFonts w:ascii="Palatino Linotype" w:hAnsi="Palatino Linotype"/>
        </w:rPr>
        <w:t>4</w:t>
      </w:r>
      <w:r w:rsidR="008A5E23" w:rsidRPr="00A00299">
        <w:rPr>
          <w:rFonts w:ascii="Palatino Linotype" w:hAnsi="Palatino Linotype"/>
        </w:rPr>
        <w:t xml:space="preserve">. </w:t>
      </w:r>
      <w:r w:rsidR="008A5E23" w:rsidRPr="00A00299">
        <w:rPr>
          <w:rFonts w:ascii="Palatino Linotype" w:hAnsi="Palatino Linotype"/>
          <w:b/>
        </w:rPr>
        <w:t>Other possible applications</w:t>
      </w:r>
    </w:p>
    <w:p w14:paraId="62D6CF43" w14:textId="026FDF79" w:rsidR="0084648B" w:rsidRPr="00A00299" w:rsidRDefault="0084648B" w:rsidP="00FF0D93">
      <w:pPr>
        <w:spacing w:line="480" w:lineRule="auto"/>
        <w:ind w:firstLine="720"/>
        <w:rPr>
          <w:rFonts w:ascii="Palatino Linotype" w:hAnsi="Palatino Linotype"/>
        </w:rPr>
      </w:pPr>
      <w:r w:rsidRPr="00A00299">
        <w:rPr>
          <w:rFonts w:ascii="Palatino Linotype" w:hAnsi="Palatino Linotype"/>
        </w:rPr>
        <w:t xml:space="preserve">Given that it is unlikely that any view of belief will capture all the diverse phenomena associated with the way we think and talk about belief, the best we can do is offer hypotheses and compare them in terms of how well they can explain the phenomena. I have argued that my view does a better job of </w:t>
      </w:r>
      <w:r w:rsidRPr="00A00299">
        <w:rPr>
          <w:rFonts w:ascii="Palatino Linotype" w:hAnsi="Palatino Linotype"/>
        </w:rPr>
        <w:lastRenderedPageBreak/>
        <w:t>accounting for recalcitrant or resilient beliefs</w:t>
      </w:r>
      <w:r w:rsidR="00887E32">
        <w:rPr>
          <w:rFonts w:ascii="Palatino Linotype" w:hAnsi="Palatino Linotype"/>
        </w:rPr>
        <w:t xml:space="preserve">, and for distinguishing between those which are irrational and those which are not. </w:t>
      </w:r>
      <w:r w:rsidRPr="00A00299">
        <w:rPr>
          <w:rFonts w:ascii="Palatino Linotype" w:hAnsi="Palatino Linotype"/>
        </w:rPr>
        <w:t xml:space="preserve"> I also think this view holds promise for dealing with issues related to disagreement and belief </w:t>
      </w:r>
      <w:r w:rsidR="0060728E" w:rsidRPr="00A00299">
        <w:rPr>
          <w:rFonts w:ascii="Palatino Linotype" w:hAnsi="Palatino Linotype"/>
        </w:rPr>
        <w:t>alteration, as well as helping to illuminate the phenomenon of self-deception. I will end by briefly considering how this may be the case.</w:t>
      </w:r>
    </w:p>
    <w:p w14:paraId="275E10D5" w14:textId="58F041E5" w:rsidR="00EC673C" w:rsidRPr="00A00299" w:rsidRDefault="00724349" w:rsidP="00FF0D93">
      <w:pPr>
        <w:spacing w:line="480" w:lineRule="auto"/>
        <w:rPr>
          <w:rFonts w:ascii="Palatino Linotype" w:hAnsi="Palatino Linotype"/>
        </w:rPr>
      </w:pPr>
      <w:r w:rsidRPr="00A00299">
        <w:rPr>
          <w:rFonts w:ascii="Palatino Linotype" w:hAnsi="Palatino Linotype"/>
        </w:rPr>
        <w:tab/>
      </w:r>
      <w:r w:rsidR="002A3D32" w:rsidRPr="00A00299">
        <w:rPr>
          <w:rFonts w:ascii="Palatino Linotype" w:hAnsi="Palatino Linotype"/>
        </w:rPr>
        <w:t xml:space="preserve"> </w:t>
      </w:r>
      <w:r w:rsidR="00EC673C" w:rsidRPr="00A00299">
        <w:rPr>
          <w:rFonts w:ascii="Palatino Linotype" w:hAnsi="Palatino Linotype"/>
        </w:rPr>
        <w:t xml:space="preserve">If I discover true expert disagreement on a </w:t>
      </w:r>
      <w:r w:rsidR="00C15585" w:rsidRPr="00A00299">
        <w:rPr>
          <w:rFonts w:ascii="Palatino Linotype" w:hAnsi="Palatino Linotype"/>
        </w:rPr>
        <w:t xml:space="preserve">controversial </w:t>
      </w:r>
      <w:r w:rsidR="00EC673C" w:rsidRPr="00A00299">
        <w:rPr>
          <w:rFonts w:ascii="Palatino Linotype" w:hAnsi="Palatino Linotype"/>
        </w:rPr>
        <w:t>topic, the proper epistemic attitude, it seems, should be that I suspend judgment on the topic. This has</w:t>
      </w:r>
      <w:r w:rsidR="00C15585" w:rsidRPr="00A00299">
        <w:rPr>
          <w:rFonts w:ascii="Palatino Linotype" w:hAnsi="Palatino Linotype"/>
        </w:rPr>
        <w:t xml:space="preserve"> sometimes</w:t>
      </w:r>
      <w:r w:rsidR="00EC673C" w:rsidRPr="00A00299">
        <w:rPr>
          <w:rFonts w:ascii="Palatino Linotype" w:hAnsi="Palatino Linotype"/>
        </w:rPr>
        <w:t xml:space="preserve"> been called </w:t>
      </w:r>
      <w:r w:rsidR="00AE779F" w:rsidRPr="00A00299">
        <w:rPr>
          <w:rFonts w:ascii="Palatino Linotype" w:hAnsi="Palatino Linotype"/>
        </w:rPr>
        <w:t>“</w:t>
      </w:r>
      <w:r w:rsidR="00EC673C" w:rsidRPr="00A00299">
        <w:rPr>
          <w:rFonts w:ascii="Palatino Linotype" w:hAnsi="Palatino Linotype"/>
        </w:rPr>
        <w:t>controversial view agnosticism.</w:t>
      </w:r>
      <w:r w:rsidR="00AE779F" w:rsidRPr="00A00299">
        <w:rPr>
          <w:rFonts w:ascii="Palatino Linotype" w:hAnsi="Palatino Linotype"/>
        </w:rPr>
        <w:t xml:space="preserve">” </w:t>
      </w:r>
      <w:r w:rsidR="00EC673C" w:rsidRPr="00A00299">
        <w:rPr>
          <w:rStyle w:val="FootnoteReference"/>
          <w:rFonts w:ascii="Palatino Linotype" w:hAnsi="Palatino Linotype"/>
        </w:rPr>
        <w:footnoteReference w:id="37"/>
      </w:r>
      <w:r w:rsidR="00EC673C" w:rsidRPr="00A00299">
        <w:rPr>
          <w:rFonts w:ascii="Palatino Linotype" w:hAnsi="Palatino Linotype"/>
        </w:rPr>
        <w:t xml:space="preserve"> But such deep disagreement is often found in areas that are the most important to one’s social identit</w:t>
      </w:r>
      <w:r w:rsidR="00EC673C" w:rsidRPr="00A00299">
        <w:rPr>
          <w:rFonts w:ascii="Palatino Linotype" w:hAnsi="Palatino Linotype" w:cs="Times New Roman"/>
        </w:rPr>
        <w:t>y such as philosophy, religion, morality and politics, and it seems that there would be something spineless</w:t>
      </w:r>
      <w:r w:rsidR="00C15585" w:rsidRPr="00A00299">
        <w:rPr>
          <w:rFonts w:ascii="Palatino Linotype" w:hAnsi="Palatino Linotype" w:cs="Times New Roman"/>
        </w:rPr>
        <w:t xml:space="preserve"> about giving up such beliefs. </w:t>
      </w:r>
      <w:r w:rsidR="00EC673C" w:rsidRPr="00A00299">
        <w:rPr>
          <w:rFonts w:ascii="Palatino Linotype" w:hAnsi="Palatino Linotype" w:cs="Times New Roman"/>
        </w:rPr>
        <w:t>Can it really be wrong to hold beliefs in these domains?</w:t>
      </w:r>
      <w:r w:rsidR="005E5244" w:rsidRPr="00A00299">
        <w:rPr>
          <w:rFonts w:ascii="Palatino Linotype" w:hAnsi="Palatino Linotype" w:cs="Times New Roman"/>
        </w:rPr>
        <w:t xml:space="preserve">  T</w:t>
      </w:r>
      <w:r w:rsidR="00EC673C" w:rsidRPr="00A00299">
        <w:rPr>
          <w:rFonts w:ascii="Palatino Linotype" w:hAnsi="Palatino Linotype" w:cs="Times New Roman"/>
        </w:rPr>
        <w:t xml:space="preserve">he problem of disagreement should not be a problem at all if </w:t>
      </w:r>
      <w:r w:rsidR="00EC673C" w:rsidRPr="00A00299">
        <w:rPr>
          <w:rFonts w:ascii="Palatino Linotype" w:hAnsi="Palatino Linotype"/>
        </w:rPr>
        <w:t xml:space="preserve">beliefs behaved simply as the </w:t>
      </w:r>
      <w:r w:rsidR="0084648B" w:rsidRPr="00A00299">
        <w:rPr>
          <w:rFonts w:ascii="Palatino Linotype" w:hAnsi="Palatino Linotype"/>
        </w:rPr>
        <w:t xml:space="preserve">cognitivist </w:t>
      </w:r>
      <w:r w:rsidR="00EC673C" w:rsidRPr="00A00299">
        <w:rPr>
          <w:rFonts w:ascii="Palatino Linotype" w:hAnsi="Palatino Linotype"/>
        </w:rPr>
        <w:t>account holds. The answer to what to believe in cases where the evidence is truly evenly balanced as it would be in cases</w:t>
      </w:r>
      <w:r w:rsidR="00C15585" w:rsidRPr="00A00299">
        <w:rPr>
          <w:rFonts w:ascii="Palatino Linotype" w:hAnsi="Palatino Linotype"/>
        </w:rPr>
        <w:t xml:space="preserve"> of actual expert disagreement </w:t>
      </w:r>
      <w:r w:rsidR="00EC673C" w:rsidRPr="00A00299">
        <w:rPr>
          <w:rFonts w:ascii="Palatino Linotype" w:hAnsi="Palatino Linotype"/>
        </w:rPr>
        <w:t xml:space="preserve">would </w:t>
      </w:r>
      <w:r w:rsidR="002F7ABB" w:rsidRPr="00A00299">
        <w:rPr>
          <w:rFonts w:ascii="Palatino Linotype" w:hAnsi="Palatino Linotype"/>
        </w:rPr>
        <w:t>be obvious, and if you continue</w:t>
      </w:r>
      <w:r w:rsidR="00EC673C" w:rsidRPr="00A00299">
        <w:rPr>
          <w:rFonts w:ascii="Palatino Linotype" w:hAnsi="Palatino Linotype"/>
        </w:rPr>
        <w:t xml:space="preserve"> to hold beliefs on these topics then you are doing so on the pain of irrationality.</w:t>
      </w:r>
    </w:p>
    <w:p w14:paraId="66E9B11F" w14:textId="3D2C3491" w:rsidR="00740C37" w:rsidRPr="00A00299" w:rsidRDefault="002F7ABB" w:rsidP="00FF0D93">
      <w:pPr>
        <w:spacing w:line="480" w:lineRule="auto"/>
        <w:ind w:left="-90"/>
        <w:rPr>
          <w:rFonts w:ascii="Palatino Linotype" w:eastAsia="Times New Roman" w:hAnsi="Palatino Linotype" w:cs="Times New Roman"/>
          <w:color w:val="222222"/>
          <w:lang w:eastAsia="en-US"/>
        </w:rPr>
      </w:pPr>
      <w:r w:rsidRPr="00A00299">
        <w:rPr>
          <w:rFonts w:ascii="Palatino Linotype" w:hAnsi="Palatino Linotype"/>
        </w:rPr>
        <w:tab/>
      </w:r>
      <w:r w:rsidRPr="00A00299">
        <w:rPr>
          <w:rFonts w:ascii="Palatino Linotype" w:hAnsi="Palatino Linotype"/>
        </w:rPr>
        <w:tab/>
        <w:t>Again, recognizing th</w:t>
      </w:r>
      <w:r w:rsidR="00B44055" w:rsidRPr="00A00299">
        <w:rPr>
          <w:rFonts w:ascii="Palatino Linotype" w:hAnsi="Palatino Linotype"/>
        </w:rPr>
        <w:t xml:space="preserve">at </w:t>
      </w:r>
      <w:r w:rsidRPr="00A00299">
        <w:rPr>
          <w:rFonts w:ascii="Palatino Linotype" w:hAnsi="Palatino Linotype"/>
        </w:rPr>
        <w:t>belief</w:t>
      </w:r>
      <w:r w:rsidR="0084648B" w:rsidRPr="00A00299">
        <w:rPr>
          <w:rFonts w:ascii="Palatino Linotype" w:hAnsi="Palatino Linotype"/>
        </w:rPr>
        <w:t>s</w:t>
      </w:r>
      <w:r w:rsidR="00B44055" w:rsidRPr="00A00299">
        <w:rPr>
          <w:rFonts w:ascii="Palatino Linotype" w:hAnsi="Palatino Linotype"/>
        </w:rPr>
        <w:t xml:space="preserve"> are emotions</w:t>
      </w:r>
      <w:r w:rsidRPr="00A00299">
        <w:rPr>
          <w:rFonts w:ascii="Palatino Linotype" w:hAnsi="Palatino Linotype"/>
        </w:rPr>
        <w:t xml:space="preserve"> can explain what is going on in cases of </w:t>
      </w:r>
      <w:r w:rsidR="007E0FC7" w:rsidRPr="00A00299">
        <w:rPr>
          <w:rFonts w:ascii="Palatino Linotype" w:hAnsi="Palatino Linotype"/>
        </w:rPr>
        <w:t xml:space="preserve">deep disagreement and why it can be </w:t>
      </w:r>
      <w:r w:rsidRPr="00A00299">
        <w:rPr>
          <w:rFonts w:ascii="Palatino Linotype" w:hAnsi="Palatino Linotype"/>
        </w:rPr>
        <w:t xml:space="preserve">hard to change </w:t>
      </w:r>
      <w:r w:rsidR="007E0FC7" w:rsidRPr="00A00299">
        <w:rPr>
          <w:rFonts w:ascii="Palatino Linotype" w:hAnsi="Palatino Linotype"/>
        </w:rPr>
        <w:t xml:space="preserve">one’s belief even </w:t>
      </w:r>
      <w:r w:rsidR="007E0FC7" w:rsidRPr="00A00299">
        <w:rPr>
          <w:rFonts w:ascii="Palatino Linotype" w:hAnsi="Palatino Linotype"/>
        </w:rPr>
        <w:lastRenderedPageBreak/>
        <w:t xml:space="preserve">when there is evidence against it. To put it simply, </w:t>
      </w:r>
      <w:r w:rsidR="007E0FC7" w:rsidRPr="00A00299">
        <w:rPr>
          <w:rFonts w:ascii="Palatino Linotype" w:eastAsia="Times New Roman" w:hAnsi="Palatino Linotype" w:cs="Times New Roman"/>
          <w:color w:val="222222"/>
          <w:lang w:eastAsia="en-US"/>
        </w:rPr>
        <w:t>e</w:t>
      </w:r>
      <w:r w:rsidR="00360CD9" w:rsidRPr="00A00299">
        <w:rPr>
          <w:rFonts w:ascii="Palatino Linotype" w:eastAsia="Times New Roman" w:hAnsi="Palatino Linotype" w:cs="Times New Roman"/>
          <w:color w:val="222222"/>
          <w:lang w:eastAsia="en-US"/>
        </w:rPr>
        <w:t xml:space="preserve">vidence does not immediately affect feelings. </w:t>
      </w:r>
      <w:r w:rsidR="007E0FC7" w:rsidRPr="00A00299">
        <w:rPr>
          <w:rFonts w:ascii="Palatino Linotype" w:eastAsia="Times New Roman" w:hAnsi="Palatino Linotype" w:cs="Times New Roman"/>
          <w:color w:val="222222"/>
          <w:lang w:eastAsia="en-US"/>
        </w:rPr>
        <w:t xml:space="preserve">If you are angry or very sad and you are told not to be and given a number of good reasons why you shouldn’t be, these reasons will not immediately lead to an alteration of your emotional state. In the areas where one finds deep disagreement, the beliefs held are ones </w:t>
      </w:r>
      <w:r w:rsidR="005E5244" w:rsidRPr="00A00299">
        <w:rPr>
          <w:rFonts w:ascii="Palatino Linotype" w:eastAsia="Times New Roman" w:hAnsi="Palatino Linotype" w:cs="Times New Roman"/>
          <w:color w:val="222222"/>
          <w:lang w:eastAsia="en-US"/>
        </w:rPr>
        <w:t>where</w:t>
      </w:r>
      <w:r w:rsidR="007E0FC7" w:rsidRPr="00A00299">
        <w:rPr>
          <w:rFonts w:ascii="Palatino Linotype" w:eastAsia="Times New Roman" w:hAnsi="Palatino Linotype" w:cs="Times New Roman"/>
          <w:color w:val="222222"/>
          <w:lang w:eastAsia="en-US"/>
        </w:rPr>
        <w:t xml:space="preserve"> </w:t>
      </w:r>
      <w:r w:rsidR="00997043">
        <w:rPr>
          <w:rFonts w:ascii="Palatino Linotype" w:eastAsia="Times New Roman" w:hAnsi="Palatino Linotype" w:cs="Times New Roman"/>
          <w:color w:val="222222"/>
          <w:lang w:eastAsia="en-US"/>
        </w:rPr>
        <w:t>the</w:t>
      </w:r>
      <w:r w:rsidR="007E0FC7" w:rsidRPr="00A00299">
        <w:rPr>
          <w:rFonts w:ascii="Palatino Linotype" w:eastAsia="Times New Roman" w:hAnsi="Palatino Linotype" w:cs="Times New Roman"/>
          <w:color w:val="222222"/>
          <w:lang w:eastAsia="en-US"/>
        </w:rPr>
        <w:t xml:space="preserve"> </w:t>
      </w:r>
      <w:r w:rsidR="00AF6D2D" w:rsidRPr="00A00299">
        <w:rPr>
          <w:rFonts w:ascii="Palatino Linotype" w:eastAsia="Times New Roman" w:hAnsi="Palatino Linotype" w:cs="Times New Roman"/>
          <w:color w:val="222222"/>
          <w:lang w:eastAsia="en-US"/>
        </w:rPr>
        <w:t>feeling of their truth is very intense</w:t>
      </w:r>
      <w:r w:rsidR="007E0FC7" w:rsidRPr="00A00299">
        <w:rPr>
          <w:rFonts w:ascii="Palatino Linotype" w:eastAsia="Times New Roman" w:hAnsi="Palatino Linotype" w:cs="Times New Roman"/>
          <w:color w:val="222222"/>
          <w:lang w:eastAsia="en-US"/>
        </w:rPr>
        <w:t xml:space="preserve">, and so it is not surprising that it would be difficult to alter such beliefs.  </w:t>
      </w:r>
      <w:r w:rsidR="00360CD9" w:rsidRPr="00A00299">
        <w:rPr>
          <w:rFonts w:ascii="Palatino Linotype" w:eastAsia="Times New Roman" w:hAnsi="Palatino Linotype" w:cs="Times New Roman"/>
          <w:color w:val="222222"/>
          <w:lang w:eastAsia="en-US"/>
        </w:rPr>
        <w:t xml:space="preserve">Recent empirical work </w:t>
      </w:r>
      <w:r w:rsidR="007E0FC7" w:rsidRPr="00A00299">
        <w:rPr>
          <w:rFonts w:ascii="Palatino Linotype" w:eastAsia="Times New Roman" w:hAnsi="Palatino Linotype" w:cs="Times New Roman"/>
          <w:color w:val="222222"/>
          <w:lang w:eastAsia="en-US"/>
        </w:rPr>
        <w:t xml:space="preserve">shows how, if one’s belief is seen as centrally connected to one’s identity, even if there is overwhelming evidence </w:t>
      </w:r>
      <w:r w:rsidR="007E0FC7" w:rsidRPr="00A00299">
        <w:rPr>
          <w:rFonts w:ascii="Palatino Linotype" w:eastAsia="Times New Roman" w:hAnsi="Palatino Linotype" w:cs="Times New Roman"/>
          <w:i/>
          <w:color w:val="222222"/>
          <w:lang w:eastAsia="en-US"/>
        </w:rPr>
        <w:t xml:space="preserve">against </w:t>
      </w:r>
      <w:r w:rsidR="007E0FC7" w:rsidRPr="00A00299">
        <w:rPr>
          <w:rFonts w:ascii="Palatino Linotype" w:eastAsia="Times New Roman" w:hAnsi="Palatino Linotype" w:cs="Times New Roman"/>
          <w:color w:val="222222"/>
          <w:lang w:eastAsia="en-US"/>
        </w:rPr>
        <w:t>the belief, it remains r</w:t>
      </w:r>
      <w:r w:rsidR="002D103A" w:rsidRPr="00A00299">
        <w:rPr>
          <w:rFonts w:ascii="Palatino Linotype" w:eastAsia="Times New Roman" w:hAnsi="Palatino Linotype" w:cs="Times New Roman"/>
          <w:color w:val="222222"/>
          <w:lang w:eastAsia="en-US"/>
        </w:rPr>
        <w:t>esilient. These studies suggest</w:t>
      </w:r>
      <w:r w:rsidR="007E0FC7" w:rsidRPr="00A00299">
        <w:rPr>
          <w:rFonts w:ascii="Palatino Linotype" w:eastAsia="Times New Roman" w:hAnsi="Palatino Linotype" w:cs="Times New Roman"/>
          <w:color w:val="222222"/>
          <w:lang w:eastAsia="en-US"/>
        </w:rPr>
        <w:t xml:space="preserve"> that the way to get peop</w:t>
      </w:r>
      <w:r w:rsidR="00740C37" w:rsidRPr="00A00299">
        <w:rPr>
          <w:rFonts w:ascii="Palatino Linotype" w:eastAsia="Times New Roman" w:hAnsi="Palatino Linotype" w:cs="Times New Roman"/>
          <w:color w:val="222222"/>
          <w:lang w:eastAsia="en-US"/>
        </w:rPr>
        <w:t>le to be open to changing their beliefs is to begin by finding ways to make them more secure and less defended so that the presentation of facts does not feel like an assault on who they are.</w:t>
      </w:r>
      <w:r w:rsidR="00740C37" w:rsidRPr="00A00299">
        <w:rPr>
          <w:rStyle w:val="FootnoteReference"/>
          <w:rFonts w:ascii="Palatino Linotype" w:eastAsia="Times New Roman" w:hAnsi="Palatino Linotype" w:cs="Times New Roman"/>
          <w:color w:val="222222"/>
          <w:lang w:eastAsia="en-US"/>
        </w:rPr>
        <w:footnoteReference w:id="38"/>
      </w:r>
    </w:p>
    <w:p w14:paraId="551E799D" w14:textId="0D6D99A1" w:rsidR="00360CD9" w:rsidRPr="00A00299" w:rsidRDefault="00740C37" w:rsidP="00FF0D93">
      <w:pPr>
        <w:spacing w:line="480" w:lineRule="auto"/>
        <w:ind w:left="-90"/>
        <w:rPr>
          <w:rFonts w:ascii="Palatino Linotype" w:eastAsia="Times New Roman" w:hAnsi="Palatino Linotype" w:cs="Times New Roman"/>
          <w:color w:val="222222"/>
          <w:lang w:eastAsia="en-US"/>
        </w:rPr>
      </w:pPr>
      <w:r w:rsidRPr="00A00299">
        <w:rPr>
          <w:rFonts w:ascii="Palatino Linotype" w:hAnsi="Palatino Linotype"/>
        </w:rPr>
        <w:lastRenderedPageBreak/>
        <w:tab/>
      </w:r>
      <w:r w:rsidRPr="00A00299">
        <w:rPr>
          <w:rFonts w:ascii="Palatino Linotype" w:hAnsi="Palatino Linotype"/>
        </w:rPr>
        <w:tab/>
        <w:t>While the account of belief I am defending can explain why recognizing deep expert disagreement does not dislodge beliefs, can it offer a recommendation or assessment of the position</w:t>
      </w:r>
      <w:r w:rsidR="005E5244" w:rsidRPr="00A00299">
        <w:rPr>
          <w:rFonts w:ascii="Palatino Linotype" w:hAnsi="Palatino Linotype"/>
        </w:rPr>
        <w:t xml:space="preserve"> one </w:t>
      </w:r>
      <w:r w:rsidR="005E5244" w:rsidRPr="00A00299">
        <w:rPr>
          <w:rFonts w:ascii="Palatino Linotype" w:hAnsi="Palatino Linotype"/>
          <w:i/>
        </w:rPr>
        <w:t>should</w:t>
      </w:r>
      <w:r w:rsidR="005E5244" w:rsidRPr="00A00299">
        <w:rPr>
          <w:rFonts w:ascii="Palatino Linotype" w:hAnsi="Palatino Linotype"/>
        </w:rPr>
        <w:t xml:space="preserve"> take in these cases? </w:t>
      </w:r>
      <w:r w:rsidR="00360CD9" w:rsidRPr="00A00299">
        <w:rPr>
          <w:rFonts w:ascii="Palatino Linotype" w:eastAsia="Times New Roman" w:hAnsi="Palatino Linotype" w:cs="Times New Roman"/>
          <w:color w:val="222222"/>
          <w:lang w:eastAsia="en-US"/>
        </w:rPr>
        <w:t>Again, it ma</w:t>
      </w:r>
      <w:r w:rsidRPr="00A00299">
        <w:rPr>
          <w:rFonts w:ascii="Palatino Linotype" w:eastAsia="Times New Roman" w:hAnsi="Palatino Linotype" w:cs="Times New Roman"/>
          <w:color w:val="222222"/>
          <w:lang w:eastAsia="en-US"/>
        </w:rPr>
        <w:t xml:space="preserve">kes assessment more complicated, but I think similar kinds of considerations hold as when discussing matters of trust and faith. It could be that, in this domain, what one finds is a question of when to trust yourself. </w:t>
      </w:r>
      <w:r w:rsidR="005E5244" w:rsidRPr="00A00299">
        <w:rPr>
          <w:rFonts w:ascii="Palatino Linotype" w:eastAsia="Times New Roman" w:hAnsi="Palatino Linotype" w:cs="Times New Roman"/>
          <w:color w:val="222222"/>
          <w:lang w:eastAsia="en-US"/>
        </w:rPr>
        <w:t>If there is overwhelming evidence that your belief is false, this is a reason to question wh</w:t>
      </w:r>
      <w:r w:rsidR="00381F21" w:rsidRPr="00A00299">
        <w:rPr>
          <w:rFonts w:ascii="Palatino Linotype" w:eastAsia="Times New Roman" w:hAnsi="Palatino Linotype" w:cs="Times New Roman"/>
          <w:color w:val="222222"/>
          <w:lang w:eastAsia="en-US"/>
        </w:rPr>
        <w:t xml:space="preserve">ether the feeling of truth you </w:t>
      </w:r>
      <w:r w:rsidR="005E5244" w:rsidRPr="00A00299">
        <w:rPr>
          <w:rFonts w:ascii="Palatino Linotype" w:eastAsia="Times New Roman" w:hAnsi="Palatino Linotype" w:cs="Times New Roman"/>
          <w:color w:val="222222"/>
          <w:lang w:eastAsia="en-US"/>
        </w:rPr>
        <w:t xml:space="preserve">have is well-based. If you continue to hang on to the belief, ignoring the evidence against you, you are believing badly.  But again, if the evidence is neutral, </w:t>
      </w:r>
      <w:r w:rsidR="00997043">
        <w:rPr>
          <w:rFonts w:ascii="Palatino Linotype" w:eastAsia="Times New Roman" w:hAnsi="Palatino Linotype" w:cs="Times New Roman"/>
          <w:color w:val="222222"/>
          <w:lang w:eastAsia="en-US"/>
        </w:rPr>
        <w:t>or very inconclusive</w:t>
      </w:r>
      <w:r w:rsidR="005E5244" w:rsidRPr="00A00299">
        <w:rPr>
          <w:rFonts w:ascii="Palatino Linotype" w:eastAsia="Times New Roman" w:hAnsi="Palatino Linotype" w:cs="Times New Roman"/>
          <w:color w:val="222222"/>
          <w:lang w:eastAsia="en-US"/>
        </w:rPr>
        <w:t xml:space="preserve">, then the fact that the belief is one central to your social identity </w:t>
      </w:r>
      <w:r w:rsidR="00963E2F" w:rsidRPr="00A00299">
        <w:rPr>
          <w:rFonts w:ascii="Palatino Linotype" w:eastAsia="Times New Roman" w:hAnsi="Palatino Linotype" w:cs="Times New Roman"/>
          <w:color w:val="222222"/>
          <w:lang w:eastAsia="en-US"/>
        </w:rPr>
        <w:t xml:space="preserve">may well provide </w:t>
      </w:r>
      <w:r w:rsidR="005E5244" w:rsidRPr="00A00299">
        <w:rPr>
          <w:rFonts w:ascii="Palatino Linotype" w:eastAsia="Times New Roman" w:hAnsi="Palatino Linotype" w:cs="Times New Roman"/>
          <w:color w:val="222222"/>
          <w:lang w:eastAsia="en-US"/>
        </w:rPr>
        <w:t xml:space="preserve">you with good enough reason to believe it.  </w:t>
      </w:r>
    </w:p>
    <w:p w14:paraId="2D637966" w14:textId="44BBE33F" w:rsidR="00426CF8" w:rsidRPr="00A00299" w:rsidRDefault="00426CF8" w:rsidP="00FF0D93">
      <w:pPr>
        <w:spacing w:line="480" w:lineRule="auto"/>
        <w:ind w:left="-90"/>
        <w:rPr>
          <w:rFonts w:ascii="Palatino Linotype" w:eastAsia="Times New Roman" w:hAnsi="Palatino Linotype" w:cs="Times New Roman"/>
          <w:color w:val="222222"/>
          <w:lang w:eastAsia="en-US"/>
        </w:rPr>
      </w:pPr>
      <w:r w:rsidRPr="00A00299">
        <w:rPr>
          <w:rFonts w:ascii="Palatino Linotype" w:hAnsi="Palatino Linotype"/>
        </w:rPr>
        <w:tab/>
      </w:r>
      <w:r w:rsidRPr="00A00299">
        <w:rPr>
          <w:rFonts w:ascii="Palatino Linotype" w:hAnsi="Palatino Linotype"/>
        </w:rPr>
        <w:tab/>
      </w:r>
      <w:r w:rsidR="00A57E34" w:rsidRPr="00A00299">
        <w:rPr>
          <w:rFonts w:ascii="Palatino Linotype" w:hAnsi="Palatino Linotype"/>
        </w:rPr>
        <w:t xml:space="preserve">Building </w:t>
      </w:r>
      <w:r w:rsidR="00210FBB" w:rsidRPr="00A00299">
        <w:rPr>
          <w:rFonts w:ascii="Palatino Linotype" w:hAnsi="Palatino Linotype"/>
        </w:rPr>
        <w:t>on</w:t>
      </w:r>
      <w:r w:rsidR="00640470" w:rsidRPr="00A00299">
        <w:rPr>
          <w:rFonts w:ascii="Palatino Linotype" w:hAnsi="Palatino Linotype"/>
        </w:rPr>
        <w:t xml:space="preserve"> </w:t>
      </w:r>
      <w:r w:rsidR="00A57E34" w:rsidRPr="00A00299">
        <w:rPr>
          <w:rFonts w:ascii="Palatino Linotype" w:hAnsi="Palatino Linotype"/>
        </w:rPr>
        <w:t xml:space="preserve">our discussion of </w:t>
      </w:r>
      <w:r w:rsidR="00096710" w:rsidRPr="00A00299">
        <w:rPr>
          <w:rFonts w:ascii="Palatino Linotype" w:hAnsi="Palatino Linotype"/>
        </w:rPr>
        <w:t>recalcitrant beliefs</w:t>
      </w:r>
      <w:r w:rsidR="00A57E34" w:rsidRPr="00A00299">
        <w:rPr>
          <w:rFonts w:ascii="Palatino Linotype" w:hAnsi="Palatino Linotype"/>
        </w:rPr>
        <w:t>, we can see how thinking of belief as emotion may also help dispel some of the puzzles related to self-</w:t>
      </w:r>
      <w:r w:rsidR="00F8532A" w:rsidRPr="00A00299">
        <w:rPr>
          <w:rFonts w:ascii="Palatino Linotype" w:eastAsia="Times New Roman" w:hAnsi="Palatino Linotype" w:cs="Times New Roman"/>
          <w:color w:val="222222"/>
          <w:lang w:eastAsia="en-US"/>
        </w:rPr>
        <w:t xml:space="preserve">deception. Thinking back </w:t>
      </w:r>
      <w:r w:rsidR="005260B7" w:rsidRPr="00A00299">
        <w:rPr>
          <w:rFonts w:ascii="Palatino Linotype" w:eastAsia="Times New Roman" w:hAnsi="Palatino Linotype" w:cs="Times New Roman"/>
          <w:color w:val="222222"/>
          <w:lang w:eastAsia="en-US"/>
        </w:rPr>
        <w:t>to matters of trust, even if not all the reasons to trust are evidential, when the evidence that your spouse has been unfaithful, or that your child is a drug dealer</w:t>
      </w:r>
      <w:r w:rsidR="00F34AD2" w:rsidRPr="00A00299">
        <w:rPr>
          <w:rFonts w:ascii="Palatino Linotype" w:eastAsia="Times New Roman" w:hAnsi="Palatino Linotype" w:cs="Times New Roman"/>
          <w:color w:val="222222"/>
          <w:lang w:eastAsia="en-US"/>
        </w:rPr>
        <w:t>,</w:t>
      </w:r>
      <w:r w:rsidR="005260B7" w:rsidRPr="00A00299">
        <w:rPr>
          <w:rFonts w:ascii="Palatino Linotype" w:eastAsia="Times New Roman" w:hAnsi="Palatino Linotype" w:cs="Times New Roman"/>
          <w:color w:val="222222"/>
          <w:lang w:eastAsia="en-US"/>
        </w:rPr>
        <w:t xml:space="preserve"> mounts high enough, we may call someone who continues to believe against the evidence “self-deceived.” The notion of self-deception has led to many philoso</w:t>
      </w:r>
      <w:r w:rsidR="00F34AD2" w:rsidRPr="00A00299">
        <w:rPr>
          <w:rFonts w:ascii="Palatino Linotype" w:eastAsia="Times New Roman" w:hAnsi="Palatino Linotype" w:cs="Times New Roman"/>
          <w:color w:val="222222"/>
          <w:lang w:eastAsia="en-US"/>
        </w:rPr>
        <w:t>phical puzzles</w:t>
      </w:r>
      <w:r w:rsidR="005260B7" w:rsidRPr="00A00299">
        <w:rPr>
          <w:rFonts w:ascii="Palatino Linotype" w:eastAsia="Times New Roman" w:hAnsi="Palatino Linotype" w:cs="Times New Roman"/>
          <w:color w:val="222222"/>
          <w:lang w:eastAsia="en-US"/>
        </w:rPr>
        <w:t>. If self-deception is a</w:t>
      </w:r>
      <w:r w:rsidR="00B1691A" w:rsidRPr="00A00299">
        <w:rPr>
          <w:rFonts w:ascii="Palatino Linotype" w:eastAsia="Times New Roman" w:hAnsi="Palatino Linotype" w:cs="Times New Roman"/>
          <w:color w:val="222222"/>
          <w:lang w:eastAsia="en-US"/>
        </w:rPr>
        <w:t>nything like other-deception the</w:t>
      </w:r>
      <w:r w:rsidR="005260B7" w:rsidRPr="00A00299">
        <w:rPr>
          <w:rFonts w:ascii="Palatino Linotype" w:eastAsia="Times New Roman" w:hAnsi="Palatino Linotype" w:cs="Times New Roman"/>
          <w:color w:val="222222"/>
          <w:lang w:eastAsia="en-US"/>
        </w:rPr>
        <w:t xml:space="preserve">n I must both hold the warranted belief, for </w:t>
      </w:r>
      <w:r w:rsidR="00210FBB" w:rsidRPr="00A00299">
        <w:rPr>
          <w:rFonts w:ascii="Palatino Linotype" w:eastAsia="Times New Roman" w:hAnsi="Palatino Linotype" w:cs="Times New Roman"/>
          <w:color w:val="222222"/>
          <w:lang w:eastAsia="en-US"/>
        </w:rPr>
        <w:t xml:space="preserve">example that my child is </w:t>
      </w:r>
      <w:r w:rsidR="00210FBB" w:rsidRPr="00A00299">
        <w:rPr>
          <w:rFonts w:ascii="Palatino Linotype" w:eastAsia="Times New Roman" w:hAnsi="Palatino Linotype" w:cs="Times New Roman"/>
          <w:color w:val="222222"/>
          <w:lang w:eastAsia="en-US"/>
        </w:rPr>
        <w:lastRenderedPageBreak/>
        <w:t xml:space="preserve">a drug </w:t>
      </w:r>
      <w:r w:rsidR="005260B7" w:rsidRPr="00A00299">
        <w:rPr>
          <w:rFonts w:ascii="Palatino Linotype" w:eastAsia="Times New Roman" w:hAnsi="Palatino Linotype" w:cs="Times New Roman"/>
          <w:color w:val="222222"/>
          <w:lang w:eastAsia="en-US"/>
        </w:rPr>
        <w:t>dealer, and the unwarranted on</w:t>
      </w:r>
      <w:r w:rsidR="00640470" w:rsidRPr="00A00299">
        <w:rPr>
          <w:rFonts w:ascii="Palatino Linotype" w:eastAsia="Times New Roman" w:hAnsi="Palatino Linotype" w:cs="Times New Roman"/>
          <w:color w:val="222222"/>
          <w:lang w:eastAsia="en-US"/>
        </w:rPr>
        <w:t>e</w:t>
      </w:r>
      <w:r w:rsidR="005260B7" w:rsidRPr="00A00299">
        <w:rPr>
          <w:rFonts w:ascii="Palatino Linotype" w:eastAsia="Times New Roman" w:hAnsi="Palatino Linotype" w:cs="Times New Roman"/>
          <w:color w:val="222222"/>
          <w:lang w:eastAsia="en-US"/>
        </w:rPr>
        <w:t xml:space="preserve"> that he is not. As in the case of delusions, as well as </w:t>
      </w:r>
      <w:r w:rsidR="0080661B">
        <w:rPr>
          <w:rFonts w:ascii="Palatino Linotype" w:eastAsia="Times New Roman" w:hAnsi="Palatino Linotype" w:cs="Times New Roman"/>
          <w:color w:val="222222"/>
          <w:lang w:eastAsia="en-US"/>
        </w:rPr>
        <w:t>more common</w:t>
      </w:r>
      <w:r w:rsidR="00F34AD2" w:rsidRPr="00A00299">
        <w:rPr>
          <w:rFonts w:ascii="Palatino Linotype" w:eastAsia="Times New Roman" w:hAnsi="Palatino Linotype" w:cs="Times New Roman"/>
          <w:color w:val="222222"/>
          <w:lang w:eastAsia="en-US"/>
        </w:rPr>
        <w:t xml:space="preserve"> </w:t>
      </w:r>
      <w:r w:rsidR="0080661B">
        <w:rPr>
          <w:rFonts w:ascii="Palatino Linotype" w:eastAsia="Times New Roman" w:hAnsi="Palatino Linotype" w:cs="Times New Roman"/>
          <w:color w:val="222222"/>
          <w:lang w:eastAsia="en-US"/>
        </w:rPr>
        <w:t xml:space="preserve">cases that Tamar </w:t>
      </w:r>
      <w:proofErr w:type="spellStart"/>
      <w:r w:rsidR="0080661B">
        <w:rPr>
          <w:rFonts w:ascii="Palatino Linotype" w:eastAsia="Times New Roman" w:hAnsi="Palatino Linotype" w:cs="Times New Roman"/>
          <w:color w:val="222222"/>
          <w:lang w:eastAsia="en-US"/>
        </w:rPr>
        <w:t>Gendler</w:t>
      </w:r>
      <w:proofErr w:type="spellEnd"/>
      <w:r w:rsidR="0080661B">
        <w:rPr>
          <w:rFonts w:ascii="Palatino Linotype" w:eastAsia="Times New Roman" w:hAnsi="Palatino Linotype" w:cs="Times New Roman"/>
          <w:color w:val="222222"/>
          <w:lang w:eastAsia="en-US"/>
        </w:rPr>
        <w:t xml:space="preserve"> ha</w:t>
      </w:r>
      <w:r w:rsidR="00997043">
        <w:rPr>
          <w:rFonts w:ascii="Palatino Linotype" w:eastAsia="Times New Roman" w:hAnsi="Palatino Linotype" w:cs="Times New Roman"/>
          <w:color w:val="222222"/>
          <w:lang w:eastAsia="en-US"/>
        </w:rPr>
        <w:t xml:space="preserve">s </w:t>
      </w:r>
      <w:r w:rsidR="0080661B">
        <w:rPr>
          <w:rFonts w:ascii="Palatino Linotype" w:eastAsia="Times New Roman" w:hAnsi="Palatino Linotype" w:cs="Times New Roman"/>
          <w:color w:val="222222"/>
          <w:lang w:eastAsia="en-US"/>
        </w:rPr>
        <w:t xml:space="preserve">brought out attention, like, for example, people </w:t>
      </w:r>
      <w:r w:rsidR="0080661B" w:rsidRPr="00A00299">
        <w:rPr>
          <w:rFonts w:ascii="Palatino Linotype" w:hAnsi="Palatino Linotype"/>
        </w:rPr>
        <w:t>manifest</w:t>
      </w:r>
      <w:r w:rsidR="0080661B">
        <w:rPr>
          <w:rFonts w:ascii="Palatino Linotype" w:hAnsi="Palatino Linotype"/>
        </w:rPr>
        <w:t>ing</w:t>
      </w:r>
      <w:r w:rsidR="0080661B" w:rsidRPr="00A00299">
        <w:rPr>
          <w:rFonts w:ascii="Palatino Linotype" w:hAnsi="Palatino Linotype"/>
        </w:rPr>
        <w:t xml:space="preserve"> </w:t>
      </w:r>
      <w:r w:rsidR="0080661B" w:rsidRPr="00A00299">
        <w:rPr>
          <w:rFonts w:ascii="Palatino Linotype" w:hAnsi="Palatino Linotype" w:cs="Times New Roman"/>
          <w:noProof/>
        </w:rPr>
        <w:t>fear-behavior when they walk on a glass skywalk overlooking the Grand Canyon</w:t>
      </w:r>
      <w:r w:rsidR="0080661B">
        <w:rPr>
          <w:rFonts w:ascii="Palatino Linotype" w:eastAsia="Times New Roman" w:hAnsi="Palatino Linotype" w:cs="Times New Roman"/>
          <w:color w:val="222222"/>
          <w:lang w:eastAsia="en-US"/>
        </w:rPr>
        <w:t xml:space="preserve"> even though they</w:t>
      </w:r>
      <w:r w:rsidR="00F2798B">
        <w:rPr>
          <w:rFonts w:ascii="Palatino Linotype" w:eastAsia="Times New Roman" w:hAnsi="Palatino Linotype" w:cs="Times New Roman"/>
          <w:color w:val="222222"/>
          <w:lang w:eastAsia="en-US"/>
        </w:rPr>
        <w:t xml:space="preserve"> say they </w:t>
      </w:r>
      <w:r w:rsidR="0080661B">
        <w:rPr>
          <w:rFonts w:ascii="Palatino Linotype" w:eastAsia="Times New Roman" w:hAnsi="Palatino Linotype" w:cs="Times New Roman"/>
          <w:color w:val="222222"/>
          <w:lang w:eastAsia="en-US"/>
        </w:rPr>
        <w:t xml:space="preserve"> believe it is perfectly safe,</w:t>
      </w:r>
      <w:r w:rsidR="005260B7" w:rsidRPr="00A00299">
        <w:rPr>
          <w:rFonts w:ascii="Palatino Linotype" w:eastAsia="Times New Roman" w:hAnsi="Palatino Linotype" w:cs="Times New Roman"/>
          <w:color w:val="222222"/>
          <w:lang w:eastAsia="en-US"/>
        </w:rPr>
        <w:t xml:space="preserve"> what often leads us to say that someone is self-deceived is that their behavior is at odds with the belief they avow.</w:t>
      </w:r>
      <w:r w:rsidR="00F2798B">
        <w:rPr>
          <w:rStyle w:val="FootnoteReference"/>
          <w:rFonts w:ascii="Palatino Linotype" w:eastAsia="Times New Roman" w:hAnsi="Palatino Linotype" w:cs="Times New Roman"/>
          <w:color w:val="222222"/>
          <w:lang w:eastAsia="en-US"/>
        </w:rPr>
        <w:footnoteReference w:id="39"/>
      </w:r>
      <w:r w:rsidR="005260B7" w:rsidRPr="00A00299">
        <w:rPr>
          <w:rFonts w:ascii="Palatino Linotype" w:eastAsia="Times New Roman" w:hAnsi="Palatino Linotype" w:cs="Times New Roman"/>
          <w:color w:val="222222"/>
          <w:lang w:eastAsia="en-US"/>
        </w:rPr>
        <w:t xml:space="preserve"> </w:t>
      </w:r>
      <w:r w:rsidR="00B1691A" w:rsidRPr="00A00299">
        <w:rPr>
          <w:rFonts w:ascii="Palatino Linotype" w:eastAsia="Times New Roman" w:hAnsi="Palatino Linotype" w:cs="Times New Roman"/>
          <w:color w:val="222222"/>
          <w:lang w:eastAsia="en-US"/>
        </w:rPr>
        <w:t>For example, I believe</w:t>
      </w:r>
      <w:r w:rsidR="0013763A" w:rsidRPr="00A00299">
        <w:rPr>
          <w:rFonts w:ascii="Palatino Linotype" w:eastAsia="Times New Roman" w:hAnsi="Palatino Linotype" w:cs="Times New Roman"/>
          <w:color w:val="222222"/>
          <w:lang w:eastAsia="en-US"/>
        </w:rPr>
        <w:t xml:space="preserve"> my spouse is faithful and </w:t>
      </w:r>
      <w:r w:rsidR="00625D14" w:rsidRPr="00A00299">
        <w:rPr>
          <w:rFonts w:ascii="Palatino Linotype" w:eastAsia="Times New Roman" w:hAnsi="Palatino Linotype" w:cs="Times New Roman"/>
          <w:color w:val="222222"/>
          <w:lang w:eastAsia="en-US"/>
        </w:rPr>
        <w:t>yet find myself tempted to look at his emails. I may even have a story that I believe about why I have such a temptation which has nothing to do with fi</w:t>
      </w:r>
      <w:r w:rsidR="00F34AD2" w:rsidRPr="00A00299">
        <w:rPr>
          <w:rFonts w:ascii="Palatino Linotype" w:eastAsia="Times New Roman" w:hAnsi="Palatino Linotype" w:cs="Times New Roman"/>
          <w:color w:val="222222"/>
          <w:lang w:eastAsia="en-US"/>
        </w:rPr>
        <w:t>delity, but, someone looking at</w:t>
      </w:r>
      <w:r w:rsidR="00625D14" w:rsidRPr="00A00299">
        <w:rPr>
          <w:rFonts w:ascii="Palatino Linotype" w:eastAsia="Times New Roman" w:hAnsi="Palatino Linotype" w:cs="Times New Roman"/>
          <w:color w:val="222222"/>
          <w:lang w:eastAsia="en-US"/>
        </w:rPr>
        <w:t xml:space="preserve"> my behavior, would conclude that</w:t>
      </w:r>
      <w:r w:rsidR="00F34AD2" w:rsidRPr="00A00299">
        <w:rPr>
          <w:rFonts w:ascii="Palatino Linotype" w:eastAsia="Times New Roman" w:hAnsi="Palatino Linotype" w:cs="Times New Roman"/>
          <w:color w:val="222222"/>
          <w:lang w:eastAsia="en-US"/>
        </w:rPr>
        <w:t xml:space="preserve"> I do not actually believe as </w:t>
      </w:r>
      <w:r w:rsidR="00625D14" w:rsidRPr="00A00299">
        <w:rPr>
          <w:rFonts w:ascii="Palatino Linotype" w:eastAsia="Times New Roman" w:hAnsi="Palatino Linotype" w:cs="Times New Roman"/>
          <w:color w:val="222222"/>
          <w:lang w:eastAsia="en-US"/>
        </w:rPr>
        <w:t>I say I do.</w:t>
      </w:r>
    </w:p>
    <w:p w14:paraId="7033031B" w14:textId="7709B25D" w:rsidR="007D68C3" w:rsidRPr="00F2798B" w:rsidRDefault="00625D14" w:rsidP="00F2798B">
      <w:pPr>
        <w:spacing w:line="480" w:lineRule="auto"/>
      </w:pPr>
      <w:r w:rsidRPr="00A00299">
        <w:rPr>
          <w:rFonts w:ascii="Palatino Linotype" w:hAnsi="Palatino Linotype"/>
        </w:rPr>
        <w:tab/>
        <w:t>A common response to this puzzle is to deny that one of the attitudes</w:t>
      </w:r>
      <w:r w:rsidR="00AE779F" w:rsidRPr="00A00299">
        <w:rPr>
          <w:rFonts w:ascii="Palatino Linotype" w:hAnsi="Palatino Linotype"/>
        </w:rPr>
        <w:t xml:space="preserve"> -- </w:t>
      </w:r>
      <w:r w:rsidRPr="00A00299">
        <w:rPr>
          <w:rFonts w:ascii="Palatino Linotype" w:hAnsi="Palatino Linotype"/>
        </w:rPr>
        <w:t>either the welcome</w:t>
      </w:r>
      <w:r w:rsidR="006A6ED0" w:rsidRPr="00A00299">
        <w:rPr>
          <w:rFonts w:ascii="Palatino Linotype" w:hAnsi="Palatino Linotype"/>
        </w:rPr>
        <w:t>,</w:t>
      </w:r>
      <w:r w:rsidRPr="00A00299">
        <w:rPr>
          <w:rFonts w:ascii="Palatino Linotype" w:hAnsi="Palatino Linotype"/>
        </w:rPr>
        <w:t xml:space="preserve"> unwarranted one or the unwelcome</w:t>
      </w:r>
      <w:r w:rsidR="006A6ED0" w:rsidRPr="00A00299">
        <w:rPr>
          <w:rFonts w:ascii="Palatino Linotype" w:hAnsi="Palatino Linotype"/>
        </w:rPr>
        <w:t>,</w:t>
      </w:r>
      <w:r w:rsidRPr="00A00299">
        <w:rPr>
          <w:rFonts w:ascii="Palatino Linotype" w:hAnsi="Palatino Linotype"/>
        </w:rPr>
        <w:t xml:space="preserve"> warranted one</w:t>
      </w:r>
      <w:r w:rsidR="006A6ED0" w:rsidRPr="00A00299">
        <w:rPr>
          <w:rFonts w:ascii="Palatino Linotype" w:hAnsi="Palatino Linotype"/>
        </w:rPr>
        <w:t>--</w:t>
      </w:r>
      <w:r w:rsidRPr="00A00299">
        <w:rPr>
          <w:rFonts w:ascii="Palatino Linotype" w:hAnsi="Palatino Linotype"/>
        </w:rPr>
        <w:t>is actually a belief.</w:t>
      </w:r>
      <w:r w:rsidRPr="00A00299">
        <w:rPr>
          <w:rFonts w:ascii="Palatino Linotype" w:eastAsia="Times New Roman" w:hAnsi="Palatino Linotype" w:cs="Times New Roman"/>
          <w:color w:val="222222"/>
          <w:lang w:eastAsia="en-US"/>
        </w:rPr>
        <w:t xml:space="preserve"> As is the case with the recalcitrant beliefs discussed above, there are different candidate suggestions for what these belief-like states </w:t>
      </w:r>
      <w:r w:rsidRPr="00A00299">
        <w:rPr>
          <w:rFonts w:ascii="Palatino Linotype" w:eastAsia="Times New Roman" w:hAnsi="Palatino Linotype" w:cs="Times New Roman"/>
          <w:i/>
          <w:color w:val="222222"/>
          <w:lang w:eastAsia="en-US"/>
        </w:rPr>
        <w:t>really</w:t>
      </w:r>
      <w:r w:rsidRPr="00A00299">
        <w:rPr>
          <w:rFonts w:ascii="Palatino Linotype" w:eastAsia="Times New Roman" w:hAnsi="Palatino Linotype" w:cs="Times New Roman"/>
          <w:color w:val="222222"/>
          <w:lang w:eastAsia="en-US"/>
        </w:rPr>
        <w:t xml:space="preserve"> are. </w:t>
      </w:r>
      <w:r w:rsidR="006A6ED0" w:rsidRPr="00A00299">
        <w:rPr>
          <w:rFonts w:ascii="Palatino Linotype" w:eastAsia="Times New Roman" w:hAnsi="Palatino Linotype" w:cs="Times New Roman"/>
          <w:color w:val="222222"/>
          <w:lang w:eastAsia="en-US"/>
        </w:rPr>
        <w:t>A</w:t>
      </w:r>
      <w:r w:rsidRPr="00A00299">
        <w:rPr>
          <w:rFonts w:ascii="Palatino Linotype" w:eastAsia="Times New Roman" w:hAnsi="Palatino Linotype" w:cs="Times New Roman"/>
          <w:color w:val="222222"/>
          <w:lang w:eastAsia="en-US"/>
        </w:rPr>
        <w:t>gain</w:t>
      </w:r>
      <w:r w:rsidR="006A6ED0" w:rsidRPr="00A00299">
        <w:rPr>
          <w:rFonts w:ascii="Palatino Linotype" w:eastAsia="Times New Roman" w:hAnsi="Palatino Linotype" w:cs="Times New Roman"/>
          <w:color w:val="222222"/>
          <w:lang w:eastAsia="en-US"/>
        </w:rPr>
        <w:t>,</w:t>
      </w:r>
      <w:r w:rsidRPr="00A00299">
        <w:rPr>
          <w:rFonts w:ascii="Palatino Linotype" w:eastAsia="Times New Roman" w:hAnsi="Palatino Linotype" w:cs="Times New Roman"/>
          <w:color w:val="222222"/>
          <w:lang w:eastAsia="en-US"/>
        </w:rPr>
        <w:t xml:space="preserve"> one can see the pressure to do so if one holds on to the traditional assumptions that beliefs a</w:t>
      </w:r>
      <w:r w:rsidR="00CB522B" w:rsidRPr="00A00299">
        <w:rPr>
          <w:rFonts w:ascii="Palatino Linotype" w:eastAsia="Times New Roman" w:hAnsi="Palatino Linotype" w:cs="Times New Roman"/>
          <w:color w:val="222222"/>
          <w:lang w:eastAsia="en-US"/>
        </w:rPr>
        <w:t xml:space="preserve">re particularly sensitive to evidence, and guide behavior in a predictable way.  While I do not have the space here for a full </w:t>
      </w:r>
      <w:r w:rsidR="00CB522B" w:rsidRPr="00A00299">
        <w:rPr>
          <w:rFonts w:ascii="Palatino Linotype" w:eastAsia="Times New Roman" w:hAnsi="Palatino Linotype" w:cs="Times New Roman"/>
          <w:color w:val="222222"/>
          <w:lang w:eastAsia="en-US"/>
        </w:rPr>
        <w:lastRenderedPageBreak/>
        <w:t>treatment of the problem of self-deception, thinking about what it is like to have other conflicting emotions can help in understanding the phenomenon if beliefs are indeed emotions.</w:t>
      </w:r>
      <w:r w:rsidR="000226F9" w:rsidRPr="00A00299">
        <w:rPr>
          <w:rFonts w:ascii="Palatino Linotype" w:eastAsia="Times New Roman" w:hAnsi="Palatino Linotype" w:cs="Times New Roman"/>
          <w:color w:val="222222"/>
          <w:lang w:eastAsia="en-US"/>
        </w:rPr>
        <w:t xml:space="preserve"> I can both love and hate my father</w:t>
      </w:r>
      <w:r w:rsidR="007D68C3" w:rsidRPr="00A00299">
        <w:rPr>
          <w:rFonts w:ascii="Palatino Linotype" w:eastAsia="Times New Roman" w:hAnsi="Palatino Linotype" w:cs="Times New Roman"/>
          <w:color w:val="222222"/>
          <w:lang w:eastAsia="en-US"/>
        </w:rPr>
        <w:t xml:space="preserve">. Or, if </w:t>
      </w:r>
      <w:r w:rsidR="00DE7982" w:rsidRPr="00A00299">
        <w:rPr>
          <w:rFonts w:ascii="Palatino Linotype" w:eastAsia="Times New Roman" w:hAnsi="Palatino Linotype" w:cs="Times New Roman"/>
          <w:color w:val="222222"/>
          <w:lang w:eastAsia="en-US"/>
        </w:rPr>
        <w:t xml:space="preserve">we </w:t>
      </w:r>
      <w:r w:rsidR="007D68C3" w:rsidRPr="00A00299">
        <w:rPr>
          <w:rFonts w:ascii="Palatino Linotype" w:eastAsia="Times New Roman" w:hAnsi="Palatino Linotype" w:cs="Times New Roman"/>
          <w:color w:val="222222"/>
          <w:lang w:eastAsia="en-US"/>
        </w:rPr>
        <w:t>want to think about an example that can be expressed about the same proposition: I can feel sad that my 90</w:t>
      </w:r>
      <w:r w:rsidR="00AE779F" w:rsidRPr="00A00299">
        <w:rPr>
          <w:rFonts w:ascii="Palatino Linotype" w:eastAsia="Times New Roman" w:hAnsi="Palatino Linotype" w:cs="Times New Roman"/>
          <w:color w:val="222222"/>
          <w:lang w:eastAsia="en-US"/>
        </w:rPr>
        <w:t>-</w:t>
      </w:r>
      <w:r w:rsidR="007D68C3" w:rsidRPr="00A00299">
        <w:rPr>
          <w:rFonts w:ascii="Palatino Linotype" w:eastAsia="Times New Roman" w:hAnsi="Palatino Linotype" w:cs="Times New Roman"/>
          <w:color w:val="222222"/>
          <w:lang w:eastAsia="en-US"/>
        </w:rPr>
        <w:t xml:space="preserve">year old mother who has lived a full, rich life but has been suffering is about to die and happy that she is about to die. </w:t>
      </w:r>
      <w:r w:rsidR="007D68C3" w:rsidRPr="00A00299">
        <w:rPr>
          <w:rFonts w:ascii="Palatino Linotype" w:hAnsi="Palatino Linotype"/>
        </w:rPr>
        <w:t>Tension will accompany these conflicting emotions just as it accompanies the self-</w:t>
      </w:r>
      <w:r w:rsidR="007D68C3" w:rsidRPr="00A00299">
        <w:rPr>
          <w:rFonts w:ascii="Palatino Linotype" w:eastAsia="Times New Roman" w:hAnsi="Palatino Linotype" w:cs="Times New Roman"/>
          <w:color w:val="222222"/>
          <w:lang w:eastAsia="en-US"/>
        </w:rPr>
        <w:t>deceived agent</w:t>
      </w:r>
      <w:r w:rsidR="00F2798B">
        <w:rPr>
          <w:rFonts w:ascii="Palatino Linotype" w:eastAsia="Times New Roman" w:hAnsi="Palatino Linotype" w:cs="Times New Roman"/>
          <w:color w:val="222222"/>
          <w:lang w:eastAsia="en-US"/>
        </w:rPr>
        <w:t xml:space="preserve">, and </w:t>
      </w:r>
      <w:r w:rsidR="00F2798B">
        <w:rPr>
          <w:rFonts w:ascii="Palatino Linotype" w:hAnsi="Palatino Linotype"/>
        </w:rPr>
        <w:t>s</w:t>
      </w:r>
      <w:r w:rsidR="00F2798B" w:rsidRPr="00A00299">
        <w:rPr>
          <w:rFonts w:ascii="Palatino Linotype" w:hAnsi="Palatino Linotype"/>
        </w:rPr>
        <w:t>uch emotional mixes often lead to odd behavior.</w:t>
      </w:r>
      <w:r w:rsidR="00E1371D" w:rsidRPr="00E1371D">
        <w:rPr>
          <w:rStyle w:val="FootnoteReference"/>
          <w:rFonts w:ascii="Palatino Linotype" w:hAnsi="Palatino Linotype"/>
        </w:rPr>
        <w:t xml:space="preserve"> </w:t>
      </w:r>
      <w:r w:rsidR="00E1371D" w:rsidRPr="00A00299">
        <w:rPr>
          <w:rStyle w:val="FootnoteReference"/>
          <w:rFonts w:ascii="Palatino Linotype" w:hAnsi="Palatino Linotype"/>
        </w:rPr>
        <w:footnoteReference w:id="40"/>
      </w:r>
      <w:r w:rsidR="00E1371D">
        <w:rPr>
          <w:rFonts w:ascii="Palatino Linotype" w:hAnsi="Palatino Linotype"/>
        </w:rPr>
        <w:t xml:space="preserve"> </w:t>
      </w:r>
      <w:r w:rsidR="00F2798B">
        <w:t xml:space="preserve"> </w:t>
      </w:r>
      <w:r w:rsidR="00F2798B">
        <w:rPr>
          <w:rFonts w:ascii="Palatino Linotype" w:eastAsia="Times New Roman" w:hAnsi="Palatino Linotype" w:cs="Times New Roman"/>
          <w:color w:val="222222"/>
          <w:lang w:eastAsia="en-US"/>
        </w:rPr>
        <w:t xml:space="preserve">It </w:t>
      </w:r>
      <w:r w:rsidR="00240190" w:rsidRPr="00A00299">
        <w:rPr>
          <w:rFonts w:ascii="Palatino Linotype" w:eastAsia="Times New Roman" w:hAnsi="Palatino Linotype" w:cs="Times New Roman"/>
          <w:color w:val="222222"/>
          <w:lang w:eastAsia="en-US"/>
        </w:rPr>
        <w:t xml:space="preserve">may well be the case that </w:t>
      </w:r>
      <w:r w:rsidR="00F34AD2" w:rsidRPr="00A00299">
        <w:rPr>
          <w:rFonts w:ascii="Palatino Linotype" w:eastAsia="Times New Roman" w:hAnsi="Palatino Linotype" w:cs="Times New Roman"/>
          <w:color w:val="222222"/>
          <w:lang w:eastAsia="en-US"/>
        </w:rPr>
        <w:t xml:space="preserve">I </w:t>
      </w:r>
      <w:r w:rsidR="00240190" w:rsidRPr="00A00299">
        <w:rPr>
          <w:rFonts w:ascii="Palatino Linotype" w:eastAsia="Times New Roman" w:hAnsi="Palatino Linotype" w:cs="Times New Roman"/>
          <w:color w:val="222222"/>
          <w:lang w:eastAsia="en-US"/>
        </w:rPr>
        <w:t>will disavow one of the em</w:t>
      </w:r>
      <w:r w:rsidR="00F34AD2" w:rsidRPr="00A00299">
        <w:rPr>
          <w:rFonts w:ascii="Palatino Linotype" w:eastAsia="Times New Roman" w:hAnsi="Palatino Linotype" w:cs="Times New Roman"/>
          <w:color w:val="222222"/>
          <w:lang w:eastAsia="en-US"/>
        </w:rPr>
        <w:t>otions much of the time, though</w:t>
      </w:r>
      <w:r w:rsidR="00240190" w:rsidRPr="00A00299">
        <w:rPr>
          <w:rFonts w:ascii="Palatino Linotype" w:eastAsia="Times New Roman" w:hAnsi="Palatino Linotype" w:cs="Times New Roman"/>
          <w:color w:val="222222"/>
          <w:lang w:eastAsia="en-US"/>
        </w:rPr>
        <w:t xml:space="preserve"> my behavior will reveal that both are there.</w:t>
      </w:r>
    </w:p>
    <w:p w14:paraId="057E3E24" w14:textId="77777777" w:rsidR="00D74733" w:rsidRPr="00A00299" w:rsidRDefault="00D74733" w:rsidP="00FF0D93">
      <w:pPr>
        <w:spacing w:line="480" w:lineRule="auto"/>
        <w:ind w:left="-90"/>
        <w:rPr>
          <w:rFonts w:ascii="Palatino Linotype" w:hAnsi="Palatino Linotype" w:cs="Times New Roman"/>
        </w:rPr>
      </w:pPr>
    </w:p>
    <w:p w14:paraId="66D5F77F" w14:textId="77777777" w:rsidR="00D74733" w:rsidRPr="00A00299" w:rsidRDefault="00D74733" w:rsidP="00D74733">
      <w:pPr>
        <w:spacing w:line="480" w:lineRule="auto"/>
        <w:outlineLvl w:val="0"/>
        <w:rPr>
          <w:rFonts w:ascii="Palatino Linotype" w:hAnsi="Palatino Linotype" w:cs="Times New Roman"/>
          <w:b/>
        </w:rPr>
      </w:pPr>
      <w:r w:rsidRPr="00A00299">
        <w:rPr>
          <w:rFonts w:ascii="Palatino Linotype" w:hAnsi="Palatino Linotype" w:cs="Times New Roman"/>
          <w:b/>
        </w:rPr>
        <w:t>References</w:t>
      </w:r>
    </w:p>
    <w:p w14:paraId="3984B1CE" w14:textId="49487761" w:rsidR="00D74733" w:rsidRDefault="00D74733" w:rsidP="002A601F">
      <w:pPr>
        <w:ind w:hanging="90"/>
        <w:rPr>
          <w:rFonts w:ascii="Palatino Linotype" w:hAnsi="Palatino Linotype"/>
        </w:rPr>
      </w:pPr>
      <w:r w:rsidRPr="00A00299">
        <w:rPr>
          <w:rFonts w:ascii="Palatino Linotype" w:hAnsi="Palatino Linotype"/>
        </w:rPr>
        <w:tab/>
        <w:t xml:space="preserve">Adler, Jonathan. </w:t>
      </w:r>
      <w:r w:rsidRPr="00A00299">
        <w:rPr>
          <w:rFonts w:ascii="Palatino Linotype" w:hAnsi="Palatino Linotype"/>
          <w:i/>
        </w:rPr>
        <w:t>Belief’s Own Ethics</w:t>
      </w:r>
      <w:r w:rsidRPr="00A00299">
        <w:rPr>
          <w:rFonts w:ascii="Palatino Linotype" w:hAnsi="Palatino Linotype"/>
        </w:rPr>
        <w:t xml:space="preserve">. Cambridge: MIT Press, 2002. </w:t>
      </w:r>
    </w:p>
    <w:p w14:paraId="32A6108A" w14:textId="5A48B436" w:rsidR="00D74733" w:rsidRDefault="00D74733" w:rsidP="002A601F">
      <w:pPr>
        <w:rPr>
          <w:rFonts w:ascii="Palatino Linotype" w:hAnsi="Palatino Linotype"/>
        </w:rPr>
      </w:pPr>
      <w:r w:rsidRPr="00A00299">
        <w:rPr>
          <w:rFonts w:ascii="Palatino Linotype" w:hAnsi="Palatino Linotype"/>
        </w:rPr>
        <w:t xml:space="preserve">Alston, William P. “Belief, Acceptance and Religious Faith,” </w:t>
      </w:r>
      <w:r w:rsidRPr="00A00299">
        <w:rPr>
          <w:rFonts w:ascii="Palatino Linotype" w:hAnsi="Palatino Linotype"/>
          <w:i/>
        </w:rPr>
        <w:t xml:space="preserve">Faith, Freedom and </w:t>
      </w:r>
      <w:r w:rsidR="002A601F">
        <w:rPr>
          <w:rFonts w:ascii="Palatino Linotype" w:hAnsi="Palatino Linotype"/>
          <w:i/>
        </w:rPr>
        <w:t xml:space="preserve">                                                                                                                                                   </w:t>
      </w:r>
      <w:r w:rsidRPr="00A00299">
        <w:rPr>
          <w:rFonts w:ascii="Palatino Linotype" w:hAnsi="Palatino Linotype"/>
          <w:i/>
        </w:rPr>
        <w:t>Rationality</w:t>
      </w:r>
      <w:r w:rsidRPr="00A00299">
        <w:rPr>
          <w:rFonts w:ascii="Palatino Linotype" w:hAnsi="Palatino Linotype"/>
        </w:rPr>
        <w:t xml:space="preserve">, J. </w:t>
      </w:r>
      <w:r w:rsidRPr="00A00299">
        <w:rPr>
          <w:rFonts w:ascii="Palatino Linotype" w:hAnsi="Palatino Linotype"/>
        </w:rPr>
        <w:tab/>
        <w:t>Jordan and D. Howard-Snyder (eds). Rowman &amp; Littlefield, 1996.</w:t>
      </w:r>
    </w:p>
    <w:p w14:paraId="27D55CC5" w14:textId="77777777" w:rsidR="00D74733" w:rsidRPr="00A00299" w:rsidRDefault="00D74733" w:rsidP="002A601F">
      <w:pPr>
        <w:pStyle w:val="EndnoteText"/>
        <w:rPr>
          <w:rFonts w:ascii="Palatino Linotype" w:hAnsi="Palatino Linotype"/>
        </w:rPr>
      </w:pPr>
      <w:r w:rsidRPr="00A00299">
        <w:rPr>
          <w:rFonts w:ascii="Palatino Linotype" w:hAnsi="Palatino Linotype"/>
        </w:rPr>
        <w:t xml:space="preserve">Audi, Robert, “Faith, Belief, and Rationality,” </w:t>
      </w:r>
      <w:r w:rsidRPr="00A00299">
        <w:rPr>
          <w:rFonts w:ascii="Palatino Linotype" w:hAnsi="Palatino Linotype"/>
          <w:i/>
        </w:rPr>
        <w:t xml:space="preserve">Philosophical Perspectives </w:t>
      </w:r>
      <w:r w:rsidRPr="00A00299">
        <w:rPr>
          <w:rFonts w:ascii="Palatino Linotype" w:hAnsi="Palatino Linotype"/>
        </w:rPr>
        <w:t>4, 1991.</w:t>
      </w:r>
    </w:p>
    <w:p w14:paraId="3F54B4DA" w14:textId="77777777" w:rsidR="00D74733" w:rsidRPr="00A00299" w:rsidRDefault="00D74733" w:rsidP="002A601F">
      <w:pPr>
        <w:pStyle w:val="EndnoteText"/>
        <w:rPr>
          <w:rFonts w:ascii="Palatino Linotype" w:hAnsi="Palatino Linotype" w:cs="Times New Roman"/>
          <w:i/>
        </w:rPr>
      </w:pPr>
      <w:r w:rsidRPr="00A00299">
        <w:rPr>
          <w:rFonts w:ascii="Palatino Linotype" w:hAnsi="Palatino Linotype"/>
        </w:rPr>
        <w:t xml:space="preserve">Audi, Robert “Belief, Faith and Acceptance,” </w:t>
      </w:r>
      <w:r w:rsidRPr="00A00299">
        <w:rPr>
          <w:rFonts w:ascii="Palatino Linotype" w:hAnsi="Palatino Linotype" w:cs="Times New Roman"/>
          <w:i/>
        </w:rPr>
        <w:t>International Journal of the Philosophy of Religion (2008) 63: 87-102.</w:t>
      </w:r>
    </w:p>
    <w:p w14:paraId="2FAAED62" w14:textId="77777777" w:rsidR="00D74733" w:rsidRPr="00A00299" w:rsidRDefault="00D74733" w:rsidP="002A601F">
      <w:pPr>
        <w:rPr>
          <w:rFonts w:ascii="Palatino Linotype" w:eastAsia="Times New Roman" w:hAnsi="Palatino Linotype" w:cs="Times New Roman"/>
          <w:lang w:eastAsia="en-US"/>
        </w:rPr>
      </w:pPr>
      <w:r w:rsidRPr="00A00299">
        <w:rPr>
          <w:rFonts w:ascii="Palatino Linotype" w:eastAsia="Times New Roman" w:hAnsi="Palatino Linotype" w:cs="Times New Roman"/>
          <w:color w:val="1A1A1A"/>
          <w:shd w:val="clear" w:color="auto" w:fill="FFFFFF"/>
          <w:lang w:eastAsia="en-US"/>
        </w:rPr>
        <w:t xml:space="preserve">Bayne, T. and </w:t>
      </w:r>
      <w:proofErr w:type="spellStart"/>
      <w:r w:rsidRPr="00A00299">
        <w:rPr>
          <w:rFonts w:ascii="Palatino Linotype" w:eastAsia="Times New Roman" w:hAnsi="Palatino Linotype" w:cs="Times New Roman"/>
          <w:color w:val="1A1A1A"/>
          <w:shd w:val="clear" w:color="auto" w:fill="FFFFFF"/>
          <w:lang w:eastAsia="en-US"/>
        </w:rPr>
        <w:t>Hattiangadi</w:t>
      </w:r>
      <w:proofErr w:type="spellEnd"/>
      <w:r w:rsidRPr="00A00299">
        <w:rPr>
          <w:rFonts w:ascii="Palatino Linotype" w:eastAsia="Times New Roman" w:hAnsi="Palatino Linotype" w:cs="Times New Roman"/>
          <w:color w:val="1A1A1A"/>
          <w:shd w:val="clear" w:color="auto" w:fill="FFFFFF"/>
          <w:lang w:eastAsia="en-US"/>
        </w:rPr>
        <w:t xml:space="preserve">, A., 2013. “Belief and its Bedfellows,” in N. </w:t>
      </w:r>
      <w:proofErr w:type="spellStart"/>
      <w:r w:rsidRPr="00A00299">
        <w:rPr>
          <w:rFonts w:ascii="Palatino Linotype" w:eastAsia="Times New Roman" w:hAnsi="Palatino Linotype" w:cs="Times New Roman"/>
          <w:color w:val="1A1A1A"/>
          <w:shd w:val="clear" w:color="auto" w:fill="FFFFFF"/>
          <w:lang w:eastAsia="en-US"/>
        </w:rPr>
        <w:t>Nottelmann</w:t>
      </w:r>
      <w:proofErr w:type="spellEnd"/>
      <w:r w:rsidRPr="00A00299">
        <w:rPr>
          <w:rFonts w:ascii="Palatino Linotype" w:eastAsia="Times New Roman" w:hAnsi="Palatino Linotype" w:cs="Times New Roman"/>
          <w:color w:val="1A1A1A"/>
          <w:shd w:val="clear" w:color="auto" w:fill="FFFFFF"/>
          <w:lang w:eastAsia="en-US"/>
        </w:rPr>
        <w:t xml:space="preserve"> (ed.) </w:t>
      </w:r>
      <w:r w:rsidRPr="00A00299">
        <w:rPr>
          <w:rFonts w:ascii="Palatino Linotype" w:eastAsia="Times New Roman" w:hAnsi="Palatino Linotype" w:cs="Times New Roman"/>
          <w:i/>
          <w:iCs/>
          <w:color w:val="1A1A1A"/>
          <w:shd w:val="clear" w:color="auto" w:fill="FFFFFF"/>
          <w:lang w:eastAsia="en-US"/>
        </w:rPr>
        <w:t>New Essays on Belief: Constitution, Content and Structure</w:t>
      </w:r>
      <w:r w:rsidRPr="00A00299">
        <w:rPr>
          <w:rFonts w:ascii="Palatino Linotype" w:eastAsia="Times New Roman" w:hAnsi="Palatino Linotype" w:cs="Times New Roman"/>
          <w:color w:val="1A1A1A"/>
          <w:shd w:val="clear" w:color="auto" w:fill="FFFFFF"/>
          <w:lang w:eastAsia="en-US"/>
        </w:rPr>
        <w:t>, London, Palgrave: chapter 6.</w:t>
      </w:r>
    </w:p>
    <w:p w14:paraId="4B618871" w14:textId="77777777" w:rsidR="00D74733" w:rsidRPr="00A00299" w:rsidRDefault="00D74733" w:rsidP="002A601F">
      <w:pPr>
        <w:pStyle w:val="FootnoteText"/>
        <w:rPr>
          <w:rFonts w:ascii="Palatino Linotype" w:hAnsi="Palatino Linotype"/>
        </w:rPr>
      </w:pPr>
      <w:proofErr w:type="spellStart"/>
      <w:r w:rsidRPr="00A00299">
        <w:rPr>
          <w:rFonts w:ascii="Palatino Linotype" w:hAnsi="Palatino Linotype"/>
        </w:rPr>
        <w:t>Bortolotti</w:t>
      </w:r>
      <w:proofErr w:type="spellEnd"/>
      <w:r w:rsidRPr="00A00299">
        <w:rPr>
          <w:rFonts w:ascii="Palatino Linotype" w:hAnsi="Palatino Linotype"/>
        </w:rPr>
        <w:t xml:space="preserve">, Lisa. </w:t>
      </w:r>
      <w:r w:rsidRPr="00A00299">
        <w:rPr>
          <w:rFonts w:ascii="Palatino Linotype" w:hAnsi="Palatino Linotype"/>
          <w:i/>
        </w:rPr>
        <w:t xml:space="preserve">Delusions and Other Irrational Beliefs </w:t>
      </w:r>
      <w:r w:rsidRPr="00A00299">
        <w:rPr>
          <w:rFonts w:ascii="Palatino Linotype" w:hAnsi="Palatino Linotype"/>
        </w:rPr>
        <w:t>(Oxford 2010).</w:t>
      </w:r>
    </w:p>
    <w:p w14:paraId="77BC2798" w14:textId="77777777" w:rsidR="00D74733" w:rsidRPr="00A00299" w:rsidRDefault="00D74733" w:rsidP="002A601F">
      <w:pPr>
        <w:widowControl w:val="0"/>
        <w:autoSpaceDE w:val="0"/>
        <w:autoSpaceDN w:val="0"/>
        <w:adjustRightInd w:val="0"/>
        <w:rPr>
          <w:rFonts w:ascii="Palatino Linotype" w:hAnsi="Palatino Linotype" w:cs="Times New Roman"/>
          <w:color w:val="131313"/>
        </w:rPr>
      </w:pPr>
      <w:proofErr w:type="spellStart"/>
      <w:r w:rsidRPr="00A00299">
        <w:rPr>
          <w:rFonts w:ascii="Palatino Linotype" w:hAnsi="Palatino Linotype" w:cs="Times New Roman"/>
          <w:color w:val="131313"/>
        </w:rPr>
        <w:t>Bortolotti</w:t>
      </w:r>
      <w:proofErr w:type="spellEnd"/>
      <w:r w:rsidRPr="00A00299">
        <w:rPr>
          <w:rFonts w:ascii="Palatino Linotype" w:hAnsi="Palatino Linotype" w:cs="Times New Roman"/>
          <w:color w:val="131313"/>
        </w:rPr>
        <w:t xml:space="preserve">, Lisa. “In </w:t>
      </w:r>
      <w:proofErr w:type="spellStart"/>
      <w:r w:rsidRPr="00A00299">
        <w:rPr>
          <w:rFonts w:ascii="Palatino Linotype" w:hAnsi="Palatino Linotype" w:cs="Times New Roman"/>
          <w:color w:val="131313"/>
        </w:rPr>
        <w:t>Defence</w:t>
      </w:r>
      <w:proofErr w:type="spellEnd"/>
      <w:r w:rsidRPr="00A00299">
        <w:rPr>
          <w:rFonts w:ascii="Palatino Linotype" w:hAnsi="Palatino Linotype" w:cs="Times New Roman"/>
          <w:color w:val="131313"/>
        </w:rPr>
        <w:t xml:space="preserve"> of Modest </w:t>
      </w:r>
      <w:proofErr w:type="spellStart"/>
      <w:r w:rsidRPr="00A00299">
        <w:rPr>
          <w:rFonts w:ascii="Palatino Linotype" w:hAnsi="Palatino Linotype" w:cs="Times New Roman"/>
          <w:color w:val="131313"/>
        </w:rPr>
        <w:t>Doxasticism</w:t>
      </w:r>
      <w:proofErr w:type="spellEnd"/>
      <w:r w:rsidRPr="00A00299">
        <w:rPr>
          <w:rFonts w:ascii="Palatino Linotype" w:hAnsi="Palatino Linotype" w:cs="Times New Roman"/>
          <w:color w:val="131313"/>
        </w:rPr>
        <w:t xml:space="preserve"> About Delusions,” </w:t>
      </w:r>
      <w:proofErr w:type="spellStart"/>
      <w:r w:rsidRPr="00A00299">
        <w:rPr>
          <w:rFonts w:ascii="Palatino Linotype" w:hAnsi="Palatino Linotype" w:cs="Times New Roman"/>
          <w:i/>
          <w:color w:val="131313"/>
        </w:rPr>
        <w:t>Neuroethics</w:t>
      </w:r>
      <w:proofErr w:type="spellEnd"/>
      <w:r w:rsidRPr="00A00299">
        <w:rPr>
          <w:rFonts w:ascii="Palatino Linotype" w:hAnsi="Palatino Linotype" w:cs="Times New Roman"/>
          <w:i/>
          <w:color w:val="131313"/>
        </w:rPr>
        <w:t xml:space="preserve"> </w:t>
      </w:r>
      <w:r w:rsidRPr="00A00299">
        <w:rPr>
          <w:rFonts w:ascii="Palatino Linotype" w:hAnsi="Palatino Linotype" w:cs="Times New Roman"/>
          <w:color w:val="131313"/>
        </w:rPr>
        <w:t>(April 2011).</w:t>
      </w:r>
    </w:p>
    <w:p w14:paraId="0847FC8A" w14:textId="77777777" w:rsidR="00D74733" w:rsidRPr="00A00299" w:rsidRDefault="00D74733" w:rsidP="002A601F">
      <w:pPr>
        <w:widowControl w:val="0"/>
        <w:autoSpaceDE w:val="0"/>
        <w:autoSpaceDN w:val="0"/>
        <w:adjustRightInd w:val="0"/>
        <w:rPr>
          <w:rFonts w:ascii="Palatino Linotype" w:hAnsi="Palatino Linotype" w:cs="Times New Roman"/>
          <w:color w:val="131313"/>
        </w:rPr>
      </w:pPr>
      <w:r w:rsidRPr="00A00299">
        <w:rPr>
          <w:rFonts w:ascii="Palatino Linotype" w:hAnsi="Palatino Linotype" w:cs="Times New Roman"/>
          <w:color w:val="131313"/>
        </w:rPr>
        <w:t xml:space="preserve">Brady, Michael. “The Irrationality of Recalcitrant Emotions, ” </w:t>
      </w:r>
      <w:r w:rsidRPr="00A00299">
        <w:rPr>
          <w:rFonts w:ascii="Palatino Linotype" w:hAnsi="Palatino Linotype" w:cs="Times New Roman"/>
          <w:i/>
          <w:color w:val="131313"/>
        </w:rPr>
        <w:t>Philosophical Studies</w:t>
      </w:r>
      <w:r w:rsidRPr="00A00299">
        <w:rPr>
          <w:rFonts w:ascii="Palatino Linotype" w:hAnsi="Palatino Linotype" w:cs="Times New Roman"/>
          <w:color w:val="131313"/>
        </w:rPr>
        <w:t xml:space="preserve"> </w:t>
      </w:r>
      <w:r w:rsidRPr="00A00299">
        <w:rPr>
          <w:rFonts w:ascii="Palatino Linotype" w:hAnsi="Palatino Linotype" w:cs="Times New Roman"/>
          <w:color w:val="131313"/>
        </w:rPr>
        <w:lastRenderedPageBreak/>
        <w:t>(2009): 413-430.</w:t>
      </w:r>
    </w:p>
    <w:p w14:paraId="4CAFF999" w14:textId="03787085" w:rsidR="00D74733" w:rsidRDefault="00D74733" w:rsidP="002A601F">
      <w:pPr>
        <w:widowControl w:val="0"/>
        <w:autoSpaceDE w:val="0"/>
        <w:autoSpaceDN w:val="0"/>
        <w:adjustRightInd w:val="0"/>
        <w:rPr>
          <w:rFonts w:ascii="Palatino Linotype" w:hAnsi="Palatino Linotype" w:cs="Times New Roman"/>
          <w:color w:val="131313"/>
        </w:rPr>
      </w:pPr>
      <w:r w:rsidRPr="00A00299">
        <w:rPr>
          <w:rFonts w:ascii="Palatino Linotype" w:hAnsi="Palatino Linotype" w:cs="Times New Roman"/>
          <w:color w:val="131313"/>
        </w:rPr>
        <w:t xml:space="preserve">Brady, Michael. </w:t>
      </w:r>
      <w:r w:rsidRPr="00A00299">
        <w:rPr>
          <w:rFonts w:ascii="Palatino Linotype" w:hAnsi="Palatino Linotype" w:cs="Times New Roman"/>
          <w:i/>
          <w:color w:val="131313"/>
        </w:rPr>
        <w:t>Emotional Insights.</w:t>
      </w:r>
      <w:r w:rsidRPr="00A00299">
        <w:rPr>
          <w:rFonts w:ascii="Palatino Linotype" w:hAnsi="Palatino Linotype" w:cs="Times New Roman"/>
          <w:color w:val="131313"/>
        </w:rPr>
        <w:t xml:space="preserve"> Oxford, 2013.</w:t>
      </w:r>
    </w:p>
    <w:p w14:paraId="5CBE4F22" w14:textId="77777777" w:rsidR="008E5CB3" w:rsidRPr="008E5CB3" w:rsidRDefault="00C20E07" w:rsidP="002A601F">
      <w:pPr>
        <w:pStyle w:val="NoSpacing"/>
        <w:ind w:left="720" w:hanging="720"/>
        <w:jc w:val="both"/>
        <w:rPr>
          <w:rFonts w:ascii="Palatino Linotype" w:hAnsi="Palatino Linotype"/>
        </w:rPr>
      </w:pPr>
      <w:r w:rsidRPr="008E5CB3">
        <w:rPr>
          <w:rFonts w:ascii="Palatino Linotype" w:hAnsi="Palatino Linotype"/>
        </w:rPr>
        <w:t>Butler Peter V</w:t>
      </w:r>
      <w:r w:rsidR="008E5CB3" w:rsidRPr="008E5CB3">
        <w:rPr>
          <w:rFonts w:ascii="Palatino Linotype" w:hAnsi="Palatino Linotype"/>
        </w:rPr>
        <w:t>. “</w:t>
      </w:r>
      <w:r w:rsidRPr="008E5CB3">
        <w:rPr>
          <w:rFonts w:ascii="Palatino Linotype" w:hAnsi="Palatino Linotype"/>
        </w:rPr>
        <w:t xml:space="preserve">Diurnal variation in </w:t>
      </w:r>
      <w:proofErr w:type="spellStart"/>
      <w:r w:rsidRPr="008E5CB3">
        <w:rPr>
          <w:rFonts w:ascii="Palatino Linotype" w:hAnsi="Palatino Linotype"/>
        </w:rPr>
        <w:t>Cotard’s</w:t>
      </w:r>
      <w:proofErr w:type="spellEnd"/>
      <w:r w:rsidRPr="008E5CB3">
        <w:rPr>
          <w:rFonts w:ascii="Palatino Linotype" w:hAnsi="Palatino Linotype"/>
        </w:rPr>
        <w:t xml:space="preserve"> syndrome (</w:t>
      </w:r>
      <w:proofErr w:type="spellStart"/>
      <w:r w:rsidRPr="008E5CB3">
        <w:rPr>
          <w:rFonts w:ascii="Palatino Linotype" w:hAnsi="Palatino Linotype"/>
        </w:rPr>
        <w:t>copresent</w:t>
      </w:r>
      <w:proofErr w:type="spellEnd"/>
      <w:r w:rsidRPr="008E5CB3">
        <w:rPr>
          <w:rFonts w:ascii="Palatino Linotype" w:hAnsi="Palatino Linotype"/>
        </w:rPr>
        <w:t xml:space="preserve"> with Capgras</w:t>
      </w:r>
    </w:p>
    <w:p w14:paraId="3E814B80" w14:textId="0D9C21C9" w:rsidR="00C20E07" w:rsidRPr="008E5CB3" w:rsidRDefault="00C20E07" w:rsidP="002A601F">
      <w:pPr>
        <w:pStyle w:val="NoSpacing"/>
        <w:ind w:left="720" w:hanging="720"/>
        <w:jc w:val="both"/>
        <w:rPr>
          <w:rFonts w:ascii="Palatino Linotype" w:eastAsia="Book Antiqua" w:hAnsi="Palatino Linotype" w:cs="Book Antiqua"/>
        </w:rPr>
      </w:pPr>
      <w:r w:rsidRPr="008E5CB3">
        <w:rPr>
          <w:rFonts w:ascii="Palatino Linotype" w:hAnsi="Palatino Linotype"/>
        </w:rPr>
        <w:t>delusion) following traumatic brain injury</w:t>
      </w:r>
      <w:r w:rsidR="008E5CB3" w:rsidRPr="008E5CB3">
        <w:rPr>
          <w:rFonts w:ascii="Palatino Linotype" w:hAnsi="Palatino Linotype"/>
        </w:rPr>
        <w:t>”</w:t>
      </w:r>
      <w:r w:rsidRPr="008E5CB3">
        <w:rPr>
          <w:rFonts w:ascii="Palatino Linotype" w:hAnsi="Palatino Linotype"/>
        </w:rPr>
        <w:t xml:space="preserve">, </w:t>
      </w:r>
      <w:r w:rsidRPr="008E5CB3">
        <w:rPr>
          <w:rFonts w:ascii="Palatino Linotype" w:hAnsi="Palatino Linotype"/>
          <w:i/>
          <w:iCs/>
        </w:rPr>
        <w:t>Australasian and New Zealand Journal</w:t>
      </w:r>
      <w:r w:rsidR="008E5CB3" w:rsidRPr="008E5CB3">
        <w:rPr>
          <w:rFonts w:ascii="Palatino Linotype" w:hAnsi="Palatino Linotype"/>
          <w:i/>
          <w:iCs/>
        </w:rPr>
        <w:t xml:space="preserve"> of </w:t>
      </w:r>
      <w:r w:rsidRPr="008E5CB3">
        <w:rPr>
          <w:rFonts w:ascii="Palatino Linotype" w:hAnsi="Palatino Linotype"/>
          <w:i/>
          <w:iCs/>
        </w:rPr>
        <w:t>Psychiatry</w:t>
      </w:r>
      <w:r w:rsidR="008E5CB3" w:rsidRPr="008E5CB3">
        <w:rPr>
          <w:rFonts w:ascii="Palatino Linotype" w:hAnsi="Palatino Linotype"/>
        </w:rPr>
        <w:t xml:space="preserve"> (200): </w:t>
      </w:r>
      <w:r w:rsidRPr="008E5CB3">
        <w:rPr>
          <w:rFonts w:ascii="Palatino Linotype" w:hAnsi="Palatino Linotype"/>
        </w:rPr>
        <w:t>684-687.</w:t>
      </w:r>
    </w:p>
    <w:p w14:paraId="343BADAA" w14:textId="6CAF5630" w:rsidR="0019517A" w:rsidRPr="0019517A" w:rsidRDefault="00D74733" w:rsidP="002A601F">
      <w:pPr>
        <w:rPr>
          <w:rFonts w:eastAsia="Times New Roman" w:cs="Times New Roman"/>
        </w:rPr>
      </w:pPr>
      <w:r w:rsidRPr="00A00299">
        <w:rPr>
          <w:rFonts w:ascii="Palatino Linotype" w:hAnsi="Palatino Linotype"/>
        </w:rPr>
        <w:t>Carter, J. Adam. “</w:t>
      </w:r>
      <w:r w:rsidRPr="00A00299">
        <w:rPr>
          <w:rFonts w:ascii="Palatino Linotype" w:hAnsi="Palatino Linotype" w:cs="Times New Roman"/>
        </w:rPr>
        <w:t>On Behalf of Controversial View Agnosticism,”</w:t>
      </w:r>
      <w:r w:rsidR="002A601F">
        <w:rPr>
          <w:rFonts w:ascii="Palatino Linotype" w:hAnsi="Palatino Linotype" w:cs="Times New Roman"/>
        </w:rPr>
        <w:t xml:space="preserve"> </w:t>
      </w:r>
      <w:r w:rsidRPr="00A00299">
        <w:rPr>
          <w:rFonts w:ascii="Palatino Linotype" w:hAnsi="Palatino Linotype" w:cs="Times New Roman"/>
          <w:i/>
        </w:rPr>
        <w:t>European Journal of Philosophy,</w:t>
      </w:r>
      <w:r w:rsidR="0019517A">
        <w:rPr>
          <w:rFonts w:ascii="Palatino Linotype" w:hAnsi="Palatino Linotype" w:cs="Times New Roman"/>
          <w:iCs/>
        </w:rPr>
        <w:t xml:space="preserve"> (2018):</w:t>
      </w:r>
      <w:r w:rsidRPr="00A00299">
        <w:rPr>
          <w:rFonts w:ascii="Palatino Linotype" w:hAnsi="Palatino Linotype" w:cs="Times New Roman"/>
          <w:i/>
        </w:rPr>
        <w:t xml:space="preserve"> </w:t>
      </w:r>
      <w:r w:rsidR="0019517A" w:rsidRPr="0019517A">
        <w:rPr>
          <w:rFonts w:ascii="Palatino Linotype" w:eastAsia="Times New Roman" w:hAnsi="Palatino Linotype" w:cs="Arial"/>
          <w:color w:val="767676"/>
          <w:shd w:val="clear" w:color="auto" w:fill="FFFFFF"/>
        </w:rPr>
        <w:t>1358-1370</w:t>
      </w:r>
    </w:p>
    <w:p w14:paraId="4A95AA19" w14:textId="40AC801B" w:rsidR="00D74733" w:rsidRDefault="00D74733" w:rsidP="002A601F">
      <w:pPr>
        <w:pStyle w:val="EndnoteText"/>
        <w:rPr>
          <w:rFonts w:ascii="Palatino Linotype" w:hAnsi="Palatino Linotype"/>
        </w:rPr>
      </w:pPr>
      <w:r w:rsidRPr="00A00299">
        <w:rPr>
          <w:rFonts w:ascii="Palatino Linotype" w:hAnsi="Palatino Linotype"/>
        </w:rPr>
        <w:t xml:space="preserve">Cohen, Jonathan L. </w:t>
      </w:r>
      <w:r w:rsidRPr="00A00299">
        <w:rPr>
          <w:rFonts w:ascii="Palatino Linotype" w:hAnsi="Palatino Linotype"/>
          <w:i/>
        </w:rPr>
        <w:t>An Essay on Belief and Acceptance</w:t>
      </w:r>
      <w:r w:rsidRPr="00A00299">
        <w:rPr>
          <w:rFonts w:ascii="Palatino Linotype" w:hAnsi="Palatino Linotype"/>
        </w:rPr>
        <w:t>. Oxford: Oxford University Press, 1992.</w:t>
      </w:r>
    </w:p>
    <w:p w14:paraId="68403AAD" w14:textId="1C0A27DE" w:rsidR="000B4081" w:rsidRPr="000B4081" w:rsidRDefault="000B4081" w:rsidP="000B4081">
      <w:pPr>
        <w:rPr>
          <w:rFonts w:eastAsia="Times New Roman" w:cs="Times New Roman"/>
        </w:rPr>
      </w:pPr>
      <w:r w:rsidRPr="000B4081">
        <w:rPr>
          <w:rStyle w:val="name"/>
          <w:rFonts w:ascii="Palatino Linotype" w:hAnsi="Palatino Linotype"/>
          <w:color w:val="666666"/>
        </w:rPr>
        <w:t>Carey</w:t>
      </w:r>
      <w:hyperlink r:id="rId7" w:anchor="aff-1" w:history="1">
        <w:r w:rsidRPr="000B4081">
          <w:rPr>
            <w:rStyle w:val="Hyperlink"/>
            <w:rFonts w:ascii="Palatino Linotype" w:hAnsi="Palatino Linotype"/>
            <w:color w:val="37588A"/>
            <w:bdr w:val="none" w:sz="0" w:space="0" w:color="auto" w:frame="1"/>
            <w:vertAlign w:val="superscript"/>
          </w:rPr>
          <w:t>,</w:t>
        </w:r>
      </w:hyperlink>
      <w:r w:rsidRPr="000B4081">
        <w:rPr>
          <w:rFonts w:ascii="Palatino Linotype" w:hAnsi="Palatino Linotype"/>
          <w:color w:val="666666"/>
        </w:rPr>
        <w:t xml:space="preserve"> </w:t>
      </w:r>
      <w:proofErr w:type="spellStart"/>
      <w:r w:rsidRPr="000B4081">
        <w:rPr>
          <w:rFonts w:ascii="Palatino Linotype" w:hAnsi="Palatino Linotype"/>
          <w:color w:val="666666"/>
        </w:rPr>
        <w:t>J.,</w:t>
      </w:r>
      <w:r w:rsidRPr="000B4081">
        <w:rPr>
          <w:rStyle w:val="name"/>
          <w:rFonts w:ascii="Palatino Linotype" w:hAnsi="Palatino Linotype"/>
          <w:color w:val="666666"/>
        </w:rPr>
        <w:t>Chi</w:t>
      </w:r>
      <w:proofErr w:type="spellEnd"/>
      <w:r w:rsidRPr="000B4081">
        <w:rPr>
          <w:rFonts w:ascii="Palatino Linotype" w:hAnsi="Palatino Linotype"/>
          <w:color w:val="666666"/>
        </w:rPr>
        <w:fldChar w:fldCharType="begin"/>
      </w:r>
      <w:r w:rsidRPr="000B4081">
        <w:rPr>
          <w:rFonts w:ascii="Palatino Linotype" w:hAnsi="Palatino Linotype"/>
          <w:color w:val="666666"/>
        </w:rPr>
        <w:instrText xml:space="preserve"> HYPERLINK "https://advances.sciencemag.org/content/6/5/eaaw7449" \l "aff-2" </w:instrText>
      </w:r>
      <w:r w:rsidRPr="000B4081">
        <w:rPr>
          <w:rFonts w:ascii="Palatino Linotype" w:hAnsi="Palatino Linotype"/>
          <w:color w:val="666666"/>
        </w:rPr>
        <w:fldChar w:fldCharType="separate"/>
      </w:r>
      <w:r w:rsidRPr="000B4081">
        <w:rPr>
          <w:rStyle w:val="Hyperlink"/>
          <w:rFonts w:ascii="Palatino Linotype" w:hAnsi="Palatino Linotype"/>
          <w:color w:val="37588A"/>
          <w:bdr w:val="none" w:sz="0" w:space="0" w:color="auto" w:frame="1"/>
          <w:vertAlign w:val="superscript"/>
        </w:rPr>
        <w:t>,</w:t>
      </w:r>
      <w:r w:rsidRPr="000B4081">
        <w:rPr>
          <w:rFonts w:ascii="Palatino Linotype" w:hAnsi="Palatino Linotype"/>
          <w:color w:val="666666"/>
        </w:rPr>
        <w:fldChar w:fldCharType="end"/>
      </w:r>
      <w:r w:rsidRPr="000B4081">
        <w:rPr>
          <w:rFonts w:ascii="Palatino Linotype" w:hAnsi="Palatino Linotype"/>
          <w:color w:val="666666"/>
        </w:rPr>
        <w:t xml:space="preserve"> V, </w:t>
      </w:r>
      <w:r w:rsidRPr="000B4081">
        <w:rPr>
          <w:rStyle w:val="name"/>
          <w:rFonts w:ascii="Palatino Linotype" w:hAnsi="Palatino Linotype"/>
          <w:color w:val="666666"/>
        </w:rPr>
        <w:t>Flynn</w:t>
      </w:r>
      <w:r w:rsidRPr="000B4081">
        <w:rPr>
          <w:rFonts w:ascii="Palatino Linotype" w:hAnsi="Palatino Linotype"/>
          <w:color w:val="666666"/>
        </w:rPr>
        <w:t xml:space="preserve">, </w:t>
      </w:r>
      <w:proofErr w:type="spellStart"/>
      <w:r w:rsidRPr="000B4081">
        <w:rPr>
          <w:rFonts w:ascii="Palatino Linotype" w:hAnsi="Palatino Linotype"/>
          <w:color w:val="666666"/>
        </w:rPr>
        <w:t>d.j.</w:t>
      </w:r>
      <w:proofErr w:type="spellEnd"/>
      <w:r w:rsidRPr="000B4081">
        <w:rPr>
          <w:rFonts w:ascii="Palatino Linotype" w:hAnsi="Palatino Linotype"/>
          <w:color w:val="666666"/>
        </w:rPr>
        <w:t xml:space="preserve">, </w:t>
      </w:r>
      <w:proofErr w:type="spellStart"/>
      <w:r w:rsidRPr="000B4081">
        <w:rPr>
          <w:rStyle w:val="name"/>
          <w:rFonts w:ascii="Palatino Linotype" w:hAnsi="Palatino Linotype"/>
          <w:color w:val="666666"/>
        </w:rPr>
        <w:t>Nyhan</w:t>
      </w:r>
      <w:proofErr w:type="spellEnd"/>
      <w:r w:rsidRPr="000B4081">
        <w:rPr>
          <w:rFonts w:ascii="Palatino Linotype" w:hAnsi="Palatino Linotype"/>
          <w:color w:val="666666"/>
        </w:rPr>
        <w:t>, B. &amp; </w:t>
      </w:r>
      <w:proofErr w:type="spellStart"/>
      <w:r w:rsidRPr="000B4081">
        <w:rPr>
          <w:rStyle w:val="name"/>
          <w:rFonts w:ascii="Palatino Linotype" w:hAnsi="Palatino Linotype"/>
          <w:color w:val="666666"/>
        </w:rPr>
        <w:t>Zeitzof</w:t>
      </w:r>
      <w:proofErr w:type="spellEnd"/>
      <w:r w:rsidRPr="000B4081">
        <w:rPr>
          <w:rStyle w:val="name"/>
          <w:rFonts w:ascii="Palatino Linotype" w:hAnsi="Palatino Linotype"/>
          <w:color w:val="666666"/>
        </w:rPr>
        <w:t>,</w:t>
      </w:r>
      <w:r w:rsidRPr="000B4081">
        <w:rPr>
          <w:rStyle w:val="name"/>
          <w:rFonts w:ascii="Palatino Linotype" w:hAnsi="Palatino Linotype"/>
          <w:b/>
          <w:bCs/>
          <w:color w:val="666666"/>
        </w:rPr>
        <w:t xml:space="preserve"> T</w:t>
      </w:r>
      <w:r>
        <w:rPr>
          <w:rStyle w:val="name"/>
          <w:rFonts w:ascii="Helvetica Neue" w:hAnsi="Helvetica Neue"/>
          <w:b/>
          <w:bCs/>
          <w:color w:val="666666"/>
          <w:sz w:val="21"/>
          <w:szCs w:val="21"/>
        </w:rPr>
        <w:t>. “</w:t>
      </w:r>
      <w:r w:rsidRPr="000B4081">
        <w:rPr>
          <w:rFonts w:ascii="Palatino Linotype" w:eastAsia="Times New Roman" w:hAnsi="Palatino Linotype" w:cs="Times New Roman"/>
          <w:color w:val="333333"/>
          <w:shd w:val="clear" w:color="auto" w:fill="FFFFFF"/>
        </w:rPr>
        <w:t>The effects of corrective information about disease epidemics and outbreaks: Evidence from Zika and yellow fever in Brazil</w:t>
      </w:r>
      <w:r>
        <w:rPr>
          <w:rFonts w:ascii="Palatino Linotype" w:eastAsia="Times New Roman" w:hAnsi="Palatino Linotype" w:cs="Times New Roman"/>
          <w:color w:val="333333"/>
          <w:shd w:val="clear" w:color="auto" w:fill="FFFFFF"/>
        </w:rPr>
        <w:t xml:space="preserve">,” </w:t>
      </w:r>
      <w:r>
        <w:rPr>
          <w:rFonts w:ascii="Palatino Linotype" w:eastAsia="Times New Roman" w:hAnsi="Palatino Linotype" w:cs="Times New Roman"/>
          <w:i/>
          <w:iCs/>
          <w:color w:val="333333"/>
          <w:shd w:val="clear" w:color="auto" w:fill="FFFFFF"/>
        </w:rPr>
        <w:t>Science Advances</w:t>
      </w:r>
      <w:r>
        <w:rPr>
          <w:rFonts w:ascii="Palatino Linotype" w:eastAsia="Times New Roman" w:hAnsi="Palatino Linotype" w:cs="Times New Roman"/>
          <w:color w:val="333333"/>
          <w:shd w:val="clear" w:color="auto" w:fill="FFFFFF"/>
        </w:rPr>
        <w:t xml:space="preserve"> (2020): 1-10.</w:t>
      </w:r>
    </w:p>
    <w:p w14:paraId="686845D3" w14:textId="77777777" w:rsidR="008E5CB3" w:rsidRDefault="00D74733" w:rsidP="002A601F">
      <w:pPr>
        <w:widowControl w:val="0"/>
        <w:autoSpaceDE w:val="0"/>
        <w:autoSpaceDN w:val="0"/>
        <w:adjustRightInd w:val="0"/>
        <w:spacing w:after="240"/>
        <w:rPr>
          <w:rFonts w:ascii="Palatino Linotype" w:hAnsi="Palatino Linotype" w:cs="Times"/>
          <w:bCs/>
        </w:rPr>
      </w:pPr>
      <w:r w:rsidRPr="00A00299">
        <w:rPr>
          <w:rFonts w:ascii="Palatino Linotype" w:hAnsi="Palatino Linotype"/>
        </w:rPr>
        <w:t>Currie, Gregory “</w:t>
      </w:r>
      <w:r w:rsidRPr="00A00299">
        <w:rPr>
          <w:rFonts w:ascii="Palatino Linotype" w:hAnsi="Palatino Linotype" w:cs="Times"/>
          <w:bCs/>
        </w:rPr>
        <w:t xml:space="preserve">Imagination, Delusion and Hallucinations,” </w:t>
      </w:r>
      <w:r w:rsidRPr="00A00299">
        <w:rPr>
          <w:rFonts w:ascii="Palatino Linotype" w:hAnsi="Palatino Linotype" w:cs="Times"/>
          <w:bCs/>
          <w:i/>
        </w:rPr>
        <w:t xml:space="preserve">Mind &amp;Language </w:t>
      </w:r>
      <w:r w:rsidRPr="00A00299">
        <w:rPr>
          <w:rFonts w:ascii="Palatino Linotype" w:hAnsi="Palatino Linotype" w:cs="Times"/>
          <w:bCs/>
        </w:rPr>
        <w:t>(2000): 168-181.</w:t>
      </w:r>
    </w:p>
    <w:p w14:paraId="04FA6C09" w14:textId="77777777" w:rsidR="008E5CB3" w:rsidRDefault="00D74733" w:rsidP="002A601F">
      <w:pPr>
        <w:widowControl w:val="0"/>
        <w:autoSpaceDE w:val="0"/>
        <w:autoSpaceDN w:val="0"/>
        <w:adjustRightInd w:val="0"/>
        <w:spacing w:after="240"/>
        <w:rPr>
          <w:rFonts w:ascii="Palatino Linotype" w:eastAsia="Times New Roman" w:hAnsi="Palatino Linotype" w:cs="Times New Roman"/>
        </w:rPr>
      </w:pPr>
      <w:r w:rsidRPr="00A00299">
        <w:rPr>
          <w:rFonts w:ascii="Palatino Linotype" w:hAnsi="Palatino Linotype" w:cs="Times"/>
          <w:bCs/>
          <w:color w:val="000000" w:themeColor="text1"/>
        </w:rPr>
        <w:t xml:space="preserve">de Sousa, Ronald. </w:t>
      </w:r>
      <w:r w:rsidRPr="00A00299">
        <w:rPr>
          <w:rFonts w:ascii="Palatino Linotype" w:hAnsi="Palatino Linotype" w:cs="Times"/>
          <w:bCs/>
        </w:rPr>
        <w:t xml:space="preserve">“Epistemic Feelings,” </w:t>
      </w:r>
      <w:r w:rsidRPr="00A00299">
        <w:rPr>
          <w:rFonts w:ascii="Palatino Linotype" w:hAnsi="Palatino Linotype" w:cs="Times"/>
          <w:bCs/>
          <w:i/>
        </w:rPr>
        <w:t>Epistemology and Emotions</w:t>
      </w:r>
      <w:r w:rsidRPr="00A00299">
        <w:rPr>
          <w:rFonts w:ascii="Palatino Linotype" w:hAnsi="Palatino Linotype" w:cs="Times"/>
          <w:bCs/>
        </w:rPr>
        <w:t xml:space="preserve">. </w:t>
      </w:r>
      <w:r w:rsidRPr="00A00299">
        <w:rPr>
          <w:rFonts w:ascii="Palatino Linotype" w:eastAsia="Times New Roman" w:hAnsi="Palatino Linotype" w:cs="Times New Roman"/>
        </w:rPr>
        <w:t xml:space="preserve">G. Brun, U, </w:t>
      </w:r>
      <w:proofErr w:type="spellStart"/>
      <w:r w:rsidRPr="00A00299">
        <w:rPr>
          <w:rFonts w:ascii="Palatino Linotype" w:eastAsia="Times New Roman" w:hAnsi="Palatino Linotype" w:cs="Times New Roman"/>
        </w:rPr>
        <w:t>Doguoglu</w:t>
      </w:r>
      <w:proofErr w:type="spellEnd"/>
      <w:r w:rsidRPr="00A00299">
        <w:rPr>
          <w:rFonts w:ascii="Palatino Linotype" w:eastAsia="Times New Roman" w:hAnsi="Palatino Linotype" w:cs="Times New Roman"/>
        </w:rPr>
        <w:t xml:space="preserve"> and D. </w:t>
      </w:r>
      <w:proofErr w:type="spellStart"/>
      <w:r w:rsidRPr="00A00299">
        <w:rPr>
          <w:rFonts w:ascii="Palatino Linotype" w:eastAsia="Times New Roman" w:hAnsi="Palatino Linotype" w:cs="Times New Roman"/>
        </w:rPr>
        <w:t>Kuenzle</w:t>
      </w:r>
      <w:proofErr w:type="spellEnd"/>
      <w:r w:rsidRPr="00A00299">
        <w:rPr>
          <w:rFonts w:ascii="Palatino Linotype" w:eastAsia="Times New Roman" w:hAnsi="Palatino Linotype" w:cs="Times New Roman"/>
        </w:rPr>
        <w:t xml:space="preserve"> (eds) Ashgate, 2008</w:t>
      </w:r>
    </w:p>
    <w:p w14:paraId="61898585" w14:textId="77777777" w:rsidR="008E5CB3" w:rsidRDefault="00D74733" w:rsidP="002A601F">
      <w:pPr>
        <w:widowControl w:val="0"/>
        <w:autoSpaceDE w:val="0"/>
        <w:autoSpaceDN w:val="0"/>
        <w:adjustRightInd w:val="0"/>
        <w:spacing w:after="240"/>
        <w:rPr>
          <w:rFonts w:ascii="Palatino Linotype" w:eastAsia="Times New Roman" w:hAnsi="Palatino Linotype" w:cs="Times New Roman"/>
          <w:color w:val="1A1A1A"/>
        </w:rPr>
      </w:pPr>
      <w:r w:rsidRPr="00A00299">
        <w:rPr>
          <w:rFonts w:ascii="Palatino Linotype" w:hAnsi="Palatino Linotype"/>
        </w:rPr>
        <w:t>Dub, Richard. “</w:t>
      </w:r>
      <w:r w:rsidRPr="00A00299">
        <w:rPr>
          <w:rFonts w:ascii="Palatino Linotype" w:hAnsi="Palatino Linotype" w:cs="Times"/>
        </w:rPr>
        <w:t xml:space="preserve">Delusions, Acceptances, and Cognitive Feelings,” </w:t>
      </w:r>
      <w:r w:rsidRPr="00A00299">
        <w:rPr>
          <w:rFonts w:ascii="Palatino Linotype" w:hAnsi="Palatino Linotype" w:cs="Times"/>
          <w:i/>
        </w:rPr>
        <w:t>Philosophy and Phenomenological Research</w:t>
      </w:r>
      <w:r w:rsidRPr="00A00299">
        <w:rPr>
          <w:rFonts w:ascii="Palatino Linotype" w:hAnsi="Palatino Linotype" w:cs="Times"/>
        </w:rPr>
        <w:t xml:space="preserve"> (2015): 1-34.</w:t>
      </w:r>
      <w:r w:rsidRPr="00A00299">
        <w:rPr>
          <w:rFonts w:ascii="Palatino Linotype" w:hAnsi="Palatino Linotype" w:cs="Times"/>
          <w:i/>
          <w:sz w:val="54"/>
          <w:szCs w:val="54"/>
        </w:rPr>
        <w:t xml:space="preserve"> </w:t>
      </w:r>
      <w:r w:rsidRPr="00A00299">
        <w:rPr>
          <w:rFonts w:ascii="Palatino Linotype" w:eastAsia="Times New Roman" w:hAnsi="Palatino Linotype" w:cs="Times New Roman"/>
          <w:color w:val="1A1A1A"/>
        </w:rPr>
        <w:t xml:space="preserve">Egan, A., 2009. “Imagination, Delusion, and Self-Deception,” in T. Bayne and J. Fernandez (eds.) </w:t>
      </w:r>
      <w:r w:rsidRPr="00A00299">
        <w:rPr>
          <w:rFonts w:ascii="Palatino Linotype" w:eastAsia="Times New Roman" w:hAnsi="Palatino Linotype" w:cs="Times New Roman"/>
          <w:i/>
          <w:iCs/>
          <w:color w:val="1A1A1A"/>
        </w:rPr>
        <w:t>Delusions, Self-Deception, and Affective Influences on Belief-formation</w:t>
      </w:r>
      <w:r w:rsidRPr="00A00299">
        <w:rPr>
          <w:rFonts w:ascii="Palatino Linotype" w:eastAsia="Times New Roman" w:hAnsi="Palatino Linotype" w:cs="Times New Roman"/>
          <w:color w:val="1A1A1A"/>
        </w:rPr>
        <w:t>, Hove: Psychology Press, 263–280.</w:t>
      </w:r>
    </w:p>
    <w:p w14:paraId="2BE868E4" w14:textId="77777777" w:rsidR="008E5CB3" w:rsidRDefault="00D74733" w:rsidP="002A601F">
      <w:pPr>
        <w:widowControl w:val="0"/>
        <w:autoSpaceDE w:val="0"/>
        <w:autoSpaceDN w:val="0"/>
        <w:adjustRightInd w:val="0"/>
        <w:spacing w:after="240"/>
        <w:rPr>
          <w:rFonts w:ascii="Palatino Linotype" w:eastAsia="Times New Roman" w:hAnsi="Palatino Linotype" w:cs="Times New Roman"/>
          <w:color w:val="1A1A1A"/>
        </w:rPr>
      </w:pPr>
      <w:r w:rsidRPr="00A00299">
        <w:rPr>
          <w:rFonts w:ascii="Palatino Linotype" w:eastAsia="Times New Roman" w:hAnsi="Palatino Linotype" w:cs="Times New Roman"/>
          <w:color w:val="1A1A1A"/>
        </w:rPr>
        <w:t xml:space="preserve">Faulkner, Paul. </w:t>
      </w:r>
      <w:r w:rsidRPr="00A00299">
        <w:rPr>
          <w:rFonts w:ascii="Palatino Linotype" w:eastAsia="Times New Roman" w:hAnsi="Palatino Linotype" w:cs="Times New Roman"/>
          <w:i/>
          <w:color w:val="1A1A1A"/>
        </w:rPr>
        <w:t>Knowledge on Trust</w:t>
      </w:r>
      <w:r w:rsidRPr="00A00299">
        <w:rPr>
          <w:rFonts w:ascii="Palatino Linotype" w:eastAsia="Times New Roman" w:hAnsi="Palatino Linotype" w:cs="Times New Roman"/>
          <w:color w:val="1A1A1A"/>
        </w:rPr>
        <w:t>. Oxford: Oxford University Press, 2011.</w:t>
      </w:r>
    </w:p>
    <w:p w14:paraId="026CE45D" w14:textId="73D4204F" w:rsidR="002A601F" w:rsidRDefault="00D74733" w:rsidP="002A601F">
      <w:pPr>
        <w:widowControl w:val="0"/>
        <w:autoSpaceDE w:val="0"/>
        <w:autoSpaceDN w:val="0"/>
        <w:adjustRightInd w:val="0"/>
        <w:spacing w:after="240"/>
        <w:rPr>
          <w:rFonts w:ascii="Palatino Linotype" w:eastAsia="Times New Roman" w:hAnsi="Palatino Linotype" w:cs="Arial"/>
          <w:color w:val="222222"/>
          <w:shd w:val="clear" w:color="auto" w:fill="FFFFFF"/>
        </w:rPr>
      </w:pPr>
      <w:r w:rsidRPr="00A00299">
        <w:rPr>
          <w:rFonts w:ascii="Palatino Linotype" w:hAnsi="Palatino Linotype"/>
        </w:rPr>
        <w:t xml:space="preserve">Fletcher, Guy and Ridge, Michael (eds.) </w:t>
      </w:r>
      <w:r w:rsidRPr="00A00299">
        <w:rPr>
          <w:rFonts w:ascii="Palatino Linotype" w:hAnsi="Palatino Linotype"/>
          <w:i/>
        </w:rPr>
        <w:t xml:space="preserve">Having it Both Ways: Hybrid Theories and Modern Metaethics </w:t>
      </w:r>
      <w:r w:rsidRPr="00A00299">
        <w:rPr>
          <w:rFonts w:ascii="Palatino Linotype" w:hAnsi="Palatino Linotype"/>
        </w:rPr>
        <w:t>(Oxford, 2014).</w:t>
      </w:r>
      <w:proofErr w:type="spellStart"/>
      <w:r w:rsidR="005A65C6" w:rsidRPr="00A00299">
        <w:rPr>
          <w:rFonts w:ascii="Palatino Linotype" w:hAnsi="Palatino Linotype"/>
        </w:rPr>
        <w:t>Ganapini</w:t>
      </w:r>
      <w:proofErr w:type="spellEnd"/>
      <w:r w:rsidR="0019517A">
        <w:rPr>
          <w:rFonts w:ascii="Palatino Linotype" w:hAnsi="Palatino Linotype"/>
        </w:rPr>
        <w:t xml:space="preserve">, </w:t>
      </w:r>
      <w:r w:rsidR="0019517A" w:rsidRPr="0019517A">
        <w:rPr>
          <w:rFonts w:ascii="Palatino Linotype" w:eastAsia="Times New Roman" w:hAnsi="Palatino Linotype" w:cs="Arial"/>
          <w:color w:val="222222"/>
          <w:shd w:val="clear" w:color="auto" w:fill="FFFFFF"/>
        </w:rPr>
        <w:t>Marianna Bergamaschi</w:t>
      </w:r>
      <w:r w:rsidR="0019517A">
        <w:rPr>
          <w:rFonts w:ascii="Palatino Linotype" w:eastAsia="Times New Roman" w:hAnsi="Palatino Linotype" w:cs="Arial"/>
          <w:color w:val="222222"/>
          <w:shd w:val="clear" w:color="auto" w:fill="FFFFFF"/>
        </w:rPr>
        <w:t xml:space="preserve">. “Belief’s Minimal Rationality,” </w:t>
      </w:r>
      <w:r w:rsidR="0019517A">
        <w:rPr>
          <w:rFonts w:ascii="Palatino Linotype" w:eastAsia="Times New Roman" w:hAnsi="Palatino Linotype" w:cs="Arial"/>
          <w:i/>
          <w:iCs/>
          <w:color w:val="222222"/>
          <w:shd w:val="clear" w:color="auto" w:fill="FFFFFF"/>
        </w:rPr>
        <w:t xml:space="preserve">Philosophical Studies </w:t>
      </w:r>
      <w:r w:rsidR="0019517A">
        <w:rPr>
          <w:rFonts w:ascii="Palatino Linotype" w:eastAsia="Times New Roman" w:hAnsi="Palatino Linotype" w:cs="Arial"/>
          <w:color w:val="222222"/>
          <w:shd w:val="clear" w:color="auto" w:fill="FFFFFF"/>
        </w:rPr>
        <w:t>(2019).</w:t>
      </w:r>
    </w:p>
    <w:p w14:paraId="1DA36FB7" w14:textId="77777777" w:rsidR="00F2798B" w:rsidRDefault="00D74733" w:rsidP="002A601F">
      <w:pPr>
        <w:widowControl w:val="0"/>
        <w:autoSpaceDE w:val="0"/>
        <w:autoSpaceDN w:val="0"/>
        <w:adjustRightInd w:val="0"/>
        <w:spacing w:after="240"/>
        <w:rPr>
          <w:rFonts w:ascii="Palatino Linotype" w:hAnsi="Palatino Linotype"/>
        </w:rPr>
      </w:pPr>
      <w:proofErr w:type="spellStart"/>
      <w:r w:rsidRPr="00A00299">
        <w:rPr>
          <w:rFonts w:ascii="Palatino Linotype" w:hAnsi="Palatino Linotype"/>
        </w:rPr>
        <w:t>Gendler</w:t>
      </w:r>
      <w:proofErr w:type="spellEnd"/>
      <w:r w:rsidRPr="00A00299">
        <w:rPr>
          <w:rFonts w:ascii="Palatino Linotype" w:hAnsi="Palatino Linotype"/>
        </w:rPr>
        <w:t>, Tamar. “</w:t>
      </w:r>
      <w:proofErr w:type="spellStart"/>
      <w:r w:rsidRPr="00A00299">
        <w:rPr>
          <w:rFonts w:ascii="Palatino Linotype" w:hAnsi="Palatino Linotype"/>
        </w:rPr>
        <w:t>Alief</w:t>
      </w:r>
      <w:proofErr w:type="spellEnd"/>
      <w:r w:rsidRPr="00A00299">
        <w:rPr>
          <w:rFonts w:ascii="Palatino Linotype" w:hAnsi="Palatino Linotype"/>
        </w:rPr>
        <w:t xml:space="preserve"> and Belief,” </w:t>
      </w:r>
      <w:r w:rsidRPr="00A00299">
        <w:rPr>
          <w:rFonts w:ascii="Palatino Linotype" w:hAnsi="Palatino Linotype"/>
          <w:i/>
        </w:rPr>
        <w:t xml:space="preserve">The Journal of Philosophy, </w:t>
      </w:r>
      <w:r w:rsidRPr="00A00299">
        <w:rPr>
          <w:rFonts w:ascii="Palatino Linotype" w:hAnsi="Palatino Linotype"/>
        </w:rPr>
        <w:t xml:space="preserve">(2008): 634-63. </w:t>
      </w:r>
      <w:proofErr w:type="spellStart"/>
      <w:r w:rsidRPr="00A00299">
        <w:rPr>
          <w:rFonts w:ascii="Palatino Linotype" w:hAnsi="Palatino Linotype"/>
        </w:rPr>
        <w:t>Gendler</w:t>
      </w:r>
      <w:proofErr w:type="spellEnd"/>
      <w:r w:rsidRPr="00A00299">
        <w:rPr>
          <w:rFonts w:ascii="Palatino Linotype" w:hAnsi="Palatino Linotype"/>
        </w:rPr>
        <w:t>, Tamar. “</w:t>
      </w:r>
      <w:proofErr w:type="spellStart"/>
      <w:r w:rsidRPr="00A00299">
        <w:rPr>
          <w:rFonts w:ascii="Palatino Linotype" w:hAnsi="Palatino Linotype"/>
        </w:rPr>
        <w:t>Alief</w:t>
      </w:r>
      <w:proofErr w:type="spellEnd"/>
      <w:r w:rsidRPr="00A00299">
        <w:rPr>
          <w:rFonts w:ascii="Palatino Linotype" w:hAnsi="Palatino Linotype"/>
        </w:rPr>
        <w:t xml:space="preserve"> in Action (and Reaction),” </w:t>
      </w:r>
      <w:r w:rsidRPr="00A00299">
        <w:rPr>
          <w:rFonts w:ascii="Palatino Linotype" w:hAnsi="Palatino Linotype"/>
          <w:i/>
        </w:rPr>
        <w:t xml:space="preserve">Mind and Language </w:t>
      </w:r>
      <w:r w:rsidRPr="00A00299">
        <w:rPr>
          <w:rFonts w:ascii="Palatino Linotype" w:hAnsi="Palatino Linotype"/>
        </w:rPr>
        <w:t xml:space="preserve">23, (2008): 552-85. </w:t>
      </w:r>
    </w:p>
    <w:p w14:paraId="0CD9A972" w14:textId="77777777" w:rsidR="00EA464E" w:rsidRDefault="00D74733" w:rsidP="002A601F">
      <w:pPr>
        <w:widowControl w:val="0"/>
        <w:autoSpaceDE w:val="0"/>
        <w:autoSpaceDN w:val="0"/>
        <w:adjustRightInd w:val="0"/>
        <w:spacing w:after="240"/>
        <w:rPr>
          <w:rFonts w:ascii="Palatino Linotype" w:hAnsi="Palatino Linotype"/>
        </w:rPr>
      </w:pPr>
      <w:r w:rsidRPr="00A00299">
        <w:rPr>
          <w:rFonts w:ascii="Palatino Linotype" w:hAnsi="Palatino Linotype"/>
        </w:rPr>
        <w:t xml:space="preserve">Hawley, Katherine. “Partiality and Prejudice in Trusting,” </w:t>
      </w:r>
      <w:proofErr w:type="spellStart"/>
      <w:r w:rsidRPr="00A00299">
        <w:rPr>
          <w:rFonts w:ascii="Palatino Linotype" w:hAnsi="Palatino Linotype"/>
          <w:i/>
        </w:rPr>
        <w:t>Synthese</w:t>
      </w:r>
      <w:proofErr w:type="spellEnd"/>
      <w:r w:rsidRPr="00A00299">
        <w:rPr>
          <w:rFonts w:ascii="Palatino Linotype" w:hAnsi="Palatino Linotype"/>
        </w:rPr>
        <w:t xml:space="preserve"> (2014) 191: 2029-2045. </w:t>
      </w:r>
    </w:p>
    <w:p w14:paraId="41F38323" w14:textId="77777777" w:rsidR="00EA464E" w:rsidRDefault="00D74733" w:rsidP="002A601F">
      <w:pPr>
        <w:widowControl w:val="0"/>
        <w:autoSpaceDE w:val="0"/>
        <w:autoSpaceDN w:val="0"/>
        <w:adjustRightInd w:val="0"/>
        <w:spacing w:after="240"/>
        <w:rPr>
          <w:rFonts w:ascii="Palatino Linotype" w:eastAsia="Times New Roman" w:hAnsi="Palatino Linotype" w:cs="Times New Roman"/>
          <w:iCs/>
          <w:color w:val="000000"/>
          <w:lang w:eastAsia="en-US"/>
        </w:rPr>
      </w:pPr>
      <w:r w:rsidRPr="00A00299">
        <w:rPr>
          <w:rFonts w:ascii="Palatino Linotype" w:hAnsi="Palatino Linotype"/>
        </w:rPr>
        <w:t xml:space="preserve">Hazlett, Allan. “Intellectual Loyalty,” </w:t>
      </w:r>
      <w:r w:rsidRPr="00A00299">
        <w:rPr>
          <w:rFonts w:ascii="Palatino Linotype" w:eastAsia="Times New Roman" w:hAnsi="Palatino Linotype" w:cs="Times New Roman"/>
          <w:color w:val="000000"/>
          <w:lang w:eastAsia="en-US"/>
        </w:rPr>
        <w:t xml:space="preserve">A. </w:t>
      </w:r>
      <w:proofErr w:type="spellStart"/>
      <w:r w:rsidRPr="00A00299">
        <w:rPr>
          <w:rFonts w:ascii="Palatino Linotype" w:eastAsia="Times New Roman" w:hAnsi="Palatino Linotype" w:cs="Times New Roman"/>
          <w:color w:val="000000"/>
          <w:lang w:eastAsia="en-US"/>
        </w:rPr>
        <w:t>Coliva</w:t>
      </w:r>
      <w:proofErr w:type="spellEnd"/>
      <w:r w:rsidRPr="00A00299">
        <w:rPr>
          <w:rFonts w:ascii="Palatino Linotype" w:eastAsia="Times New Roman" w:hAnsi="Palatino Linotype" w:cs="Times New Roman"/>
          <w:color w:val="000000"/>
          <w:lang w:eastAsia="en-US"/>
        </w:rPr>
        <w:t xml:space="preserve"> and D. </w:t>
      </w:r>
      <w:proofErr w:type="spellStart"/>
      <w:r w:rsidRPr="00A00299">
        <w:rPr>
          <w:rFonts w:ascii="Palatino Linotype" w:eastAsia="Times New Roman" w:hAnsi="Palatino Linotype" w:cs="Times New Roman"/>
          <w:color w:val="000000"/>
          <w:lang w:eastAsia="en-US"/>
        </w:rPr>
        <w:t>Moyal</w:t>
      </w:r>
      <w:proofErr w:type="spellEnd"/>
      <w:r w:rsidRPr="00A00299">
        <w:rPr>
          <w:rFonts w:ascii="Palatino Linotype" w:eastAsia="Times New Roman" w:hAnsi="Palatino Linotype" w:cs="Times New Roman"/>
          <w:color w:val="000000"/>
          <w:lang w:eastAsia="en-US"/>
        </w:rPr>
        <w:t xml:space="preserve">-Sharrock (eds.), </w:t>
      </w:r>
      <w:r w:rsidRPr="00A00299">
        <w:rPr>
          <w:rFonts w:ascii="Palatino Linotype" w:eastAsia="Times New Roman" w:hAnsi="Palatino Linotype" w:cs="Times New Roman"/>
          <w:i/>
          <w:iCs/>
          <w:color w:val="000000"/>
          <w:lang w:eastAsia="en-US"/>
        </w:rPr>
        <w:t>Hinge Epistemology: Basic Beliefs after Moore and Wittgenstein</w:t>
      </w:r>
      <w:r w:rsidRPr="00A00299">
        <w:rPr>
          <w:rFonts w:ascii="Palatino Linotype" w:eastAsia="Times New Roman" w:hAnsi="Palatino Linotype" w:cs="Times New Roman"/>
          <w:color w:val="000000"/>
          <w:lang w:eastAsia="en-US"/>
        </w:rPr>
        <w:t xml:space="preserve">, special issue of the </w:t>
      </w:r>
      <w:r w:rsidRPr="00A00299">
        <w:rPr>
          <w:rFonts w:ascii="Palatino Linotype" w:eastAsia="Times New Roman" w:hAnsi="Palatino Linotype" w:cs="Times New Roman"/>
          <w:i/>
          <w:iCs/>
          <w:color w:val="000000"/>
          <w:lang w:eastAsia="en-US"/>
        </w:rPr>
        <w:t xml:space="preserve">International Journal for the Study of Skepticism. </w:t>
      </w:r>
      <w:r w:rsidRPr="00A00299">
        <w:rPr>
          <w:rFonts w:ascii="Palatino Linotype" w:eastAsia="Times New Roman" w:hAnsi="Palatino Linotype" w:cs="Times New Roman"/>
          <w:iCs/>
          <w:color w:val="000000"/>
          <w:lang w:eastAsia="en-US"/>
        </w:rPr>
        <w:t>(Brill, 2016).</w:t>
      </w:r>
    </w:p>
    <w:p w14:paraId="1B7ABA96" w14:textId="35FAA55D" w:rsidR="002A601F" w:rsidRDefault="00D74733" w:rsidP="002A601F">
      <w:pPr>
        <w:widowControl w:val="0"/>
        <w:autoSpaceDE w:val="0"/>
        <w:autoSpaceDN w:val="0"/>
        <w:adjustRightInd w:val="0"/>
        <w:spacing w:after="240"/>
        <w:rPr>
          <w:rFonts w:ascii="Palatino Linotype" w:eastAsia="Times New Roman" w:hAnsi="Palatino Linotype" w:cs="Times New Roman"/>
          <w:color w:val="000000"/>
          <w:lang w:eastAsia="en-US"/>
        </w:rPr>
      </w:pPr>
      <w:r w:rsidRPr="00A00299">
        <w:rPr>
          <w:rFonts w:ascii="Palatino Linotype" w:eastAsia="Times New Roman" w:hAnsi="Palatino Linotype" w:cs="Times New Roman"/>
          <w:i/>
          <w:iCs/>
          <w:color w:val="000000"/>
          <w:lang w:eastAsia="en-US"/>
        </w:rPr>
        <w:t xml:space="preserve"> </w:t>
      </w:r>
      <w:r w:rsidR="00ED263E">
        <w:rPr>
          <w:rFonts w:ascii="Palatino Linotype" w:eastAsia="Times New Roman" w:hAnsi="Palatino Linotype" w:cs="Times New Roman"/>
          <w:color w:val="000000"/>
          <w:lang w:eastAsia="en-US"/>
        </w:rPr>
        <w:t xml:space="preserve">Hazlett, Allan. </w:t>
      </w:r>
      <w:r w:rsidR="00EA464E">
        <w:rPr>
          <w:rFonts w:eastAsia="Times New Roman" w:cs="Times New Roman"/>
        </w:rPr>
        <w:t xml:space="preserve">“On the Special Insult of Refusing Testimony.” </w:t>
      </w:r>
      <w:r w:rsidR="00EA464E">
        <w:rPr>
          <w:rFonts w:eastAsia="Times New Roman" w:cs="Times New Roman"/>
          <w:i/>
        </w:rPr>
        <w:t>Philosophical Explorations</w:t>
      </w:r>
      <w:r w:rsidR="00EA464E">
        <w:rPr>
          <w:rFonts w:eastAsia="Times New Roman" w:cs="Times New Roman"/>
        </w:rPr>
        <w:t>, 20:sup1, (2017): 37-51.</w:t>
      </w:r>
    </w:p>
    <w:p w14:paraId="005A2E08" w14:textId="77777777" w:rsidR="00997043" w:rsidRDefault="00D74733" w:rsidP="002A601F">
      <w:pPr>
        <w:widowControl w:val="0"/>
        <w:autoSpaceDE w:val="0"/>
        <w:autoSpaceDN w:val="0"/>
        <w:adjustRightInd w:val="0"/>
        <w:spacing w:after="240"/>
        <w:rPr>
          <w:rFonts w:ascii="Palatino Linotype" w:hAnsi="Palatino Linotype"/>
        </w:rPr>
      </w:pPr>
      <w:r w:rsidRPr="00A00299">
        <w:rPr>
          <w:rFonts w:ascii="Palatino Linotype" w:hAnsi="Palatino Linotype"/>
        </w:rPr>
        <w:lastRenderedPageBreak/>
        <w:t xml:space="preserve">Helm, Bennet. </w:t>
      </w:r>
      <w:r w:rsidRPr="00A00299">
        <w:rPr>
          <w:rFonts w:ascii="Palatino Linotype" w:hAnsi="Palatino Linotype"/>
          <w:i/>
        </w:rPr>
        <w:t>Emotional Reason</w:t>
      </w:r>
      <w:r w:rsidRPr="00A00299">
        <w:rPr>
          <w:rFonts w:ascii="Palatino Linotype" w:hAnsi="Palatino Linotype"/>
        </w:rPr>
        <w:t>. Cambridge, 2001.</w:t>
      </w:r>
      <w:r w:rsidR="005A65C6" w:rsidRPr="00A00299">
        <w:rPr>
          <w:rFonts w:ascii="Palatino Linotype" w:hAnsi="Palatino Linotype"/>
        </w:rPr>
        <w:t>Helton, Grace</w:t>
      </w:r>
      <w:r w:rsidR="0019517A">
        <w:rPr>
          <w:rFonts w:ascii="Palatino Linotype" w:hAnsi="Palatino Linotype"/>
        </w:rPr>
        <w:t xml:space="preserve"> “If You Can’t Change What you Believe Then You Don’t Believe It.” </w:t>
      </w:r>
      <w:r w:rsidR="0019517A">
        <w:rPr>
          <w:rFonts w:ascii="Palatino Linotype" w:hAnsi="Palatino Linotype"/>
          <w:i/>
          <w:iCs/>
        </w:rPr>
        <w:t>Nous</w:t>
      </w:r>
      <w:r w:rsidR="0091536C">
        <w:rPr>
          <w:rFonts w:ascii="Palatino Linotype" w:hAnsi="Palatino Linotype"/>
        </w:rPr>
        <w:t>: 1-26.</w:t>
      </w:r>
    </w:p>
    <w:p w14:paraId="41FE0D70" w14:textId="6352F3A7" w:rsidR="00E1371D" w:rsidRDefault="00D74733" w:rsidP="002A601F">
      <w:pPr>
        <w:widowControl w:val="0"/>
        <w:autoSpaceDE w:val="0"/>
        <w:autoSpaceDN w:val="0"/>
        <w:adjustRightInd w:val="0"/>
        <w:spacing w:after="240"/>
        <w:rPr>
          <w:rFonts w:ascii="Palatino Linotype" w:hAnsi="Palatino Linotype"/>
        </w:rPr>
      </w:pPr>
      <w:r w:rsidRPr="00A00299">
        <w:rPr>
          <w:rFonts w:ascii="Palatino Linotype" w:hAnsi="Palatino Linotype"/>
        </w:rPr>
        <w:t xml:space="preserve">Holton, Richard. “Deciding to Trust, Coming to Believe,” </w:t>
      </w:r>
      <w:r w:rsidRPr="00A00299">
        <w:rPr>
          <w:rFonts w:ascii="Palatino Linotype" w:hAnsi="Palatino Linotype"/>
          <w:i/>
        </w:rPr>
        <w:t xml:space="preserve">Australasian Journal of Philosophy </w:t>
      </w:r>
      <w:r w:rsidRPr="00A00299">
        <w:rPr>
          <w:rFonts w:ascii="Palatino Linotype" w:hAnsi="Palatino Linotype"/>
        </w:rPr>
        <w:t>(1994) 72.1: 63-76.</w:t>
      </w:r>
    </w:p>
    <w:p w14:paraId="6F412D5B" w14:textId="77777777" w:rsidR="00E1371D" w:rsidRDefault="00D74733" w:rsidP="002A601F">
      <w:pPr>
        <w:widowControl w:val="0"/>
        <w:autoSpaceDE w:val="0"/>
        <w:autoSpaceDN w:val="0"/>
        <w:adjustRightInd w:val="0"/>
        <w:spacing w:after="240"/>
        <w:rPr>
          <w:rFonts w:ascii="Palatino Linotype" w:hAnsi="Palatino Linotype"/>
        </w:rPr>
      </w:pPr>
      <w:r w:rsidRPr="00A00299">
        <w:rPr>
          <w:rFonts w:ascii="Palatino Linotype" w:hAnsi="Palatino Linotype"/>
        </w:rPr>
        <w:t xml:space="preserve">Hume, David. </w:t>
      </w:r>
      <w:r w:rsidRPr="00A00299">
        <w:rPr>
          <w:rFonts w:ascii="Palatino Linotype" w:hAnsi="Palatino Linotype"/>
          <w:i/>
        </w:rPr>
        <w:t xml:space="preserve">A Treatise of Human Nature. </w:t>
      </w:r>
      <w:r w:rsidRPr="00A00299">
        <w:rPr>
          <w:rFonts w:ascii="Palatino Linotype" w:hAnsi="Palatino Linotype"/>
        </w:rPr>
        <w:t xml:space="preserve">Edited by David F Norton and Mary J. Norton. Oxford: Oxford University Press, 2000. </w:t>
      </w:r>
    </w:p>
    <w:p w14:paraId="1A49C351" w14:textId="3275FEBC" w:rsidR="002A601F" w:rsidRDefault="005A65C6" w:rsidP="002A601F">
      <w:pPr>
        <w:widowControl w:val="0"/>
        <w:autoSpaceDE w:val="0"/>
        <w:autoSpaceDN w:val="0"/>
        <w:adjustRightInd w:val="0"/>
        <w:spacing w:after="240"/>
        <w:rPr>
          <w:rFonts w:ascii="Palatino Linotype" w:hAnsi="Palatino Linotype"/>
        </w:rPr>
      </w:pPr>
      <w:r w:rsidRPr="00A00299">
        <w:rPr>
          <w:rFonts w:ascii="Palatino Linotype" w:hAnsi="Palatino Linotype"/>
        </w:rPr>
        <w:t>Huddleston</w:t>
      </w:r>
      <w:r w:rsidR="0091536C">
        <w:rPr>
          <w:rFonts w:ascii="Palatino Linotype" w:hAnsi="Palatino Linotype"/>
        </w:rPr>
        <w:t xml:space="preserve">, </w:t>
      </w:r>
      <w:r w:rsidR="006700A0">
        <w:rPr>
          <w:rFonts w:ascii="Palatino Linotype" w:hAnsi="Palatino Linotype"/>
        </w:rPr>
        <w:t xml:space="preserve">Andrew. “Naughty Beliefs,” </w:t>
      </w:r>
      <w:r w:rsidR="006700A0">
        <w:rPr>
          <w:rFonts w:ascii="Palatino Linotype" w:hAnsi="Palatino Linotype"/>
          <w:i/>
          <w:iCs/>
        </w:rPr>
        <w:t>Philosophical Studies</w:t>
      </w:r>
      <w:r w:rsidR="006700A0">
        <w:rPr>
          <w:rFonts w:ascii="Palatino Linotype" w:hAnsi="Palatino Linotype"/>
        </w:rPr>
        <w:t xml:space="preserve"> (2012): 209-222.</w:t>
      </w:r>
    </w:p>
    <w:p w14:paraId="73BA43BE" w14:textId="6A1BDB56" w:rsidR="00E1371D" w:rsidRPr="00E1371D" w:rsidRDefault="00E1371D" w:rsidP="002A601F">
      <w:pPr>
        <w:widowControl w:val="0"/>
        <w:autoSpaceDE w:val="0"/>
        <w:autoSpaceDN w:val="0"/>
        <w:adjustRightInd w:val="0"/>
        <w:spacing w:after="240"/>
        <w:rPr>
          <w:rFonts w:ascii="Palatino Linotype" w:eastAsia="Times New Roman" w:hAnsi="Palatino Linotype" w:cs="Arial"/>
          <w:color w:val="222222"/>
          <w:shd w:val="clear" w:color="auto" w:fill="FFFFFF"/>
        </w:rPr>
      </w:pPr>
      <w:r>
        <w:rPr>
          <w:rFonts w:ascii="Palatino Linotype" w:hAnsi="Palatino Linotype"/>
        </w:rPr>
        <w:t xml:space="preserve">Hunter, David </w:t>
      </w:r>
      <w:r>
        <w:rPr>
          <w:rFonts w:ascii="Palatino Linotype" w:hAnsi="Palatino Linotype"/>
          <w:i/>
          <w:iCs/>
        </w:rPr>
        <w:t xml:space="preserve">Being a Believer </w:t>
      </w:r>
      <w:r>
        <w:rPr>
          <w:rFonts w:ascii="Palatino Linotype" w:hAnsi="Palatino Linotype"/>
        </w:rPr>
        <w:t>(</w:t>
      </w:r>
      <w:proofErr w:type="spellStart"/>
      <w:r>
        <w:rPr>
          <w:rFonts w:ascii="Palatino Linotype" w:hAnsi="Palatino Linotype"/>
        </w:rPr>
        <w:t>ms.</w:t>
      </w:r>
      <w:proofErr w:type="spellEnd"/>
      <w:r>
        <w:rPr>
          <w:rFonts w:ascii="Palatino Linotype" w:hAnsi="Palatino Linotype"/>
        </w:rPr>
        <w:t>)</w:t>
      </w:r>
    </w:p>
    <w:p w14:paraId="18DF5849" w14:textId="03F2F265" w:rsidR="00D74733" w:rsidRPr="002A601F" w:rsidRDefault="00D74733" w:rsidP="002A601F">
      <w:pPr>
        <w:widowControl w:val="0"/>
        <w:autoSpaceDE w:val="0"/>
        <w:autoSpaceDN w:val="0"/>
        <w:adjustRightInd w:val="0"/>
        <w:spacing w:after="240"/>
        <w:rPr>
          <w:rFonts w:ascii="Palatino Linotype" w:eastAsia="Times New Roman" w:hAnsi="Palatino Linotype" w:cs="Arial"/>
          <w:color w:val="222222"/>
          <w:shd w:val="clear" w:color="auto" w:fill="FFFFFF"/>
        </w:rPr>
      </w:pPr>
      <w:proofErr w:type="spellStart"/>
      <w:r w:rsidRPr="00A00299">
        <w:rPr>
          <w:rFonts w:ascii="Palatino Linotype" w:hAnsi="Palatino Linotype"/>
        </w:rPr>
        <w:t>Kiloren</w:t>
      </w:r>
      <w:proofErr w:type="spellEnd"/>
      <w:r w:rsidRPr="00A00299">
        <w:rPr>
          <w:rFonts w:ascii="Palatino Linotype" w:hAnsi="Palatino Linotype"/>
        </w:rPr>
        <w:t>, David. “Robust Moral Realism: An Excellent Religion,”</w:t>
      </w:r>
      <w:r w:rsidRPr="00A00299">
        <w:rPr>
          <w:rFonts w:ascii="Palatino Linotype" w:eastAsia="Times New Roman" w:hAnsi="Palatino Linotype" w:cs="Arial"/>
          <w:color w:val="555555"/>
          <w:shd w:val="clear" w:color="auto" w:fill="FFFFFF"/>
          <w:lang w:eastAsia="en-US"/>
        </w:rPr>
        <w:t> </w:t>
      </w:r>
      <w:r w:rsidRPr="00A00299">
        <w:rPr>
          <w:rFonts w:ascii="Palatino Linotype" w:eastAsia="Times New Roman" w:hAnsi="Palatino Linotype" w:cs="Arial"/>
          <w:i/>
          <w:iCs/>
          <w:color w:val="555555"/>
          <w:shd w:val="clear" w:color="auto" w:fill="FFFFFF"/>
          <w:lang w:eastAsia="en-US"/>
        </w:rPr>
        <w:t>International Journal for Philosophy of Religion</w:t>
      </w:r>
      <w:r w:rsidRPr="00A00299">
        <w:rPr>
          <w:rFonts w:ascii="Palatino Linotype" w:eastAsia="Times New Roman" w:hAnsi="Palatino Linotype" w:cs="Arial"/>
          <w:color w:val="555555"/>
          <w:shd w:val="clear" w:color="auto" w:fill="FFFFFF"/>
          <w:lang w:eastAsia="en-US"/>
        </w:rPr>
        <w:t>: 1-15, 2015</w:t>
      </w:r>
    </w:p>
    <w:p w14:paraId="1FEBBB2A" w14:textId="67580BE6" w:rsidR="005A65C6" w:rsidRPr="006700A0" w:rsidRDefault="005A65C6" w:rsidP="002A601F">
      <w:pPr>
        <w:rPr>
          <w:rFonts w:ascii="Palatino Linotype" w:eastAsia="Times New Roman" w:hAnsi="Palatino Linotype" w:cs="Times New Roman"/>
          <w:lang w:eastAsia="en-US"/>
        </w:rPr>
      </w:pPr>
      <w:r w:rsidRPr="00A00299">
        <w:rPr>
          <w:rFonts w:ascii="Palatino Linotype" w:eastAsia="Times New Roman" w:hAnsi="Palatino Linotype" w:cs="Arial"/>
          <w:color w:val="555555"/>
          <w:shd w:val="clear" w:color="auto" w:fill="FFFFFF"/>
          <w:lang w:eastAsia="en-US"/>
        </w:rPr>
        <w:t>Levy, Neil</w:t>
      </w:r>
      <w:r w:rsidR="006700A0">
        <w:rPr>
          <w:rFonts w:ascii="Palatino Linotype" w:eastAsia="Times New Roman" w:hAnsi="Palatino Linotype" w:cs="Arial"/>
          <w:color w:val="555555"/>
          <w:shd w:val="clear" w:color="auto" w:fill="FFFFFF"/>
          <w:lang w:eastAsia="en-US"/>
        </w:rPr>
        <w:t xml:space="preserve">, “Religious Beliefs are Factual Beliefs: Content does not Correlate with Context Sensitivity,” </w:t>
      </w:r>
      <w:r w:rsidR="006700A0">
        <w:rPr>
          <w:rFonts w:ascii="Palatino Linotype" w:eastAsia="Times New Roman" w:hAnsi="Palatino Linotype" w:cs="Arial"/>
          <w:i/>
          <w:iCs/>
          <w:color w:val="555555"/>
          <w:shd w:val="clear" w:color="auto" w:fill="FFFFFF"/>
          <w:lang w:eastAsia="en-US"/>
        </w:rPr>
        <w:t xml:space="preserve">Cognition </w:t>
      </w:r>
      <w:r w:rsidR="006700A0">
        <w:rPr>
          <w:rFonts w:ascii="Palatino Linotype" w:eastAsia="Times New Roman" w:hAnsi="Palatino Linotype" w:cs="Arial"/>
          <w:color w:val="555555"/>
          <w:shd w:val="clear" w:color="auto" w:fill="FFFFFF"/>
          <w:lang w:eastAsia="en-US"/>
        </w:rPr>
        <w:t>(2017) : 109-116.</w:t>
      </w:r>
    </w:p>
    <w:p w14:paraId="4B4AB060" w14:textId="77777777" w:rsidR="00D74733" w:rsidRPr="00A00299" w:rsidRDefault="00D74733" w:rsidP="002A601F">
      <w:pPr>
        <w:pStyle w:val="EndnoteText"/>
        <w:rPr>
          <w:rFonts w:ascii="Palatino Linotype" w:hAnsi="Palatino Linotype"/>
        </w:rPr>
      </w:pPr>
      <w:r w:rsidRPr="00A00299">
        <w:rPr>
          <w:rFonts w:ascii="Palatino Linotype" w:eastAsia="Times New Roman" w:hAnsi="Palatino Linotype" w:cs="Times New Roman"/>
        </w:rPr>
        <w:t xml:space="preserve">Longworth, Guy. “Faith in Kant,” Faulkner P. and Simpson, P. (eds) </w:t>
      </w:r>
      <w:r w:rsidRPr="00A00299">
        <w:rPr>
          <w:rFonts w:ascii="Palatino Linotype" w:eastAsia="Times New Roman" w:hAnsi="Palatino Linotype" w:cs="Times New Roman"/>
          <w:i/>
        </w:rPr>
        <w:t xml:space="preserve">The Philosophy of Trust </w:t>
      </w:r>
      <w:r w:rsidRPr="00A00299">
        <w:rPr>
          <w:rFonts w:ascii="Palatino Linotype" w:eastAsia="Times New Roman" w:hAnsi="Palatino Linotype" w:cs="Times New Roman"/>
        </w:rPr>
        <w:t>(Oxford, 2017).</w:t>
      </w:r>
    </w:p>
    <w:p w14:paraId="0B5D3423" w14:textId="77777777" w:rsidR="00D74733" w:rsidRPr="00A00299" w:rsidRDefault="00D74733" w:rsidP="002A601F">
      <w:pPr>
        <w:pStyle w:val="EndnoteText"/>
        <w:rPr>
          <w:rFonts w:ascii="Palatino Linotype" w:hAnsi="Palatino Linotype"/>
        </w:rPr>
      </w:pPr>
      <w:proofErr w:type="spellStart"/>
      <w:r w:rsidRPr="00A00299">
        <w:rPr>
          <w:rFonts w:ascii="Palatino Linotype" w:hAnsi="Palatino Linotype"/>
        </w:rPr>
        <w:t>Maruši</w:t>
      </w:r>
      <w:r w:rsidRPr="00A00299">
        <w:rPr>
          <w:rFonts w:ascii="Palatino Linotype" w:hAnsi="Palatino Linotype" w:cs="Times New Roman"/>
        </w:rPr>
        <w:t>ć</w:t>
      </w:r>
      <w:proofErr w:type="spellEnd"/>
      <w:r w:rsidRPr="00A00299">
        <w:rPr>
          <w:rFonts w:ascii="Palatino Linotype" w:hAnsi="Palatino Linotype" w:cs="Times New Roman"/>
        </w:rPr>
        <w:t xml:space="preserve">, </w:t>
      </w:r>
      <w:proofErr w:type="spellStart"/>
      <w:r w:rsidRPr="00A00299">
        <w:rPr>
          <w:rFonts w:ascii="Palatino Linotype" w:hAnsi="Palatino Linotype" w:cs="Times New Roman"/>
        </w:rPr>
        <w:t>Berislav</w:t>
      </w:r>
      <w:proofErr w:type="spellEnd"/>
      <w:r w:rsidRPr="00A00299">
        <w:rPr>
          <w:rFonts w:ascii="Palatino Linotype" w:hAnsi="Palatino Linotype" w:cs="Times New Roman"/>
        </w:rPr>
        <w:t xml:space="preserve">. </w:t>
      </w:r>
      <w:r w:rsidRPr="00A00299">
        <w:rPr>
          <w:rFonts w:ascii="Palatino Linotype" w:hAnsi="Palatino Linotype"/>
          <w:i/>
        </w:rPr>
        <w:t>Evidence and Agency: Norms of Belief for Promising and Resolving</w:t>
      </w:r>
      <w:r w:rsidRPr="00A00299">
        <w:rPr>
          <w:rFonts w:ascii="Palatino Linotype" w:hAnsi="Palatino Linotype"/>
        </w:rPr>
        <w:t xml:space="preserve"> (Oxford, 2015).</w:t>
      </w:r>
    </w:p>
    <w:p w14:paraId="0EF6BAA2" w14:textId="11EBA2DA" w:rsidR="00D74733" w:rsidRPr="00A00299" w:rsidRDefault="00D74733" w:rsidP="002A601F">
      <w:pPr>
        <w:pStyle w:val="EndnoteText"/>
        <w:rPr>
          <w:rFonts w:ascii="Palatino Linotype" w:hAnsi="Palatino Linotype"/>
        </w:rPr>
      </w:pPr>
      <w:r w:rsidRPr="00A00299">
        <w:rPr>
          <w:rFonts w:ascii="Palatino Linotype" w:hAnsi="Palatino Linotype"/>
          <w:lang w:val="da-DK"/>
        </w:rPr>
        <w:t xml:space="preserve">Mele, Alfred. </w:t>
      </w:r>
      <w:proofErr w:type="spellStart"/>
      <w:r w:rsidRPr="00A00299">
        <w:rPr>
          <w:rFonts w:ascii="Palatino Linotype" w:hAnsi="Palatino Linotype"/>
          <w:i/>
          <w:lang w:val="da-DK"/>
        </w:rPr>
        <w:t>Self-Deception</w:t>
      </w:r>
      <w:proofErr w:type="spellEnd"/>
      <w:r w:rsidRPr="00A00299">
        <w:rPr>
          <w:rFonts w:ascii="Palatino Linotype" w:hAnsi="Palatino Linotype"/>
          <w:i/>
          <w:lang w:val="da-DK"/>
        </w:rPr>
        <w:t xml:space="preserve"> </w:t>
      </w:r>
      <w:proofErr w:type="spellStart"/>
      <w:r w:rsidRPr="00A00299">
        <w:rPr>
          <w:rFonts w:ascii="Palatino Linotype" w:hAnsi="Palatino Linotype"/>
          <w:i/>
          <w:lang w:val="da-DK"/>
        </w:rPr>
        <w:t>Unmasked</w:t>
      </w:r>
      <w:proofErr w:type="spellEnd"/>
      <w:r w:rsidRPr="00A00299">
        <w:rPr>
          <w:rFonts w:ascii="Palatino Linotype" w:hAnsi="Palatino Linotype"/>
          <w:i/>
          <w:lang w:val="da-DK"/>
        </w:rPr>
        <w:t xml:space="preserve">. </w:t>
      </w:r>
      <w:r w:rsidRPr="00A00299">
        <w:rPr>
          <w:rFonts w:ascii="Palatino Linotype" w:hAnsi="Palatino Linotype"/>
        </w:rPr>
        <w:t>Princeton, 2000.</w:t>
      </w:r>
    </w:p>
    <w:p w14:paraId="2A629E29" w14:textId="77777777" w:rsidR="00D74733" w:rsidRPr="00A00299" w:rsidRDefault="00D74733" w:rsidP="002A601F">
      <w:pPr>
        <w:pStyle w:val="EndnoteText"/>
        <w:rPr>
          <w:rFonts w:ascii="Palatino Linotype" w:hAnsi="Palatino Linotype"/>
        </w:rPr>
      </w:pPr>
      <w:r w:rsidRPr="00A00299">
        <w:rPr>
          <w:rFonts w:ascii="Palatino Linotype" w:hAnsi="Palatino Linotype"/>
        </w:rPr>
        <w:t xml:space="preserve">Plantinga, Alvin and Nicholas </w:t>
      </w:r>
      <w:proofErr w:type="spellStart"/>
      <w:r w:rsidRPr="00A00299">
        <w:rPr>
          <w:rFonts w:ascii="Palatino Linotype" w:hAnsi="Palatino Linotype"/>
        </w:rPr>
        <w:t>Wolterstorff</w:t>
      </w:r>
      <w:proofErr w:type="spellEnd"/>
      <w:r w:rsidRPr="00A00299">
        <w:rPr>
          <w:rFonts w:ascii="Palatino Linotype" w:hAnsi="Palatino Linotype"/>
        </w:rPr>
        <w:t xml:space="preserve">. </w:t>
      </w:r>
      <w:r w:rsidRPr="00A00299">
        <w:rPr>
          <w:rFonts w:ascii="Palatino Linotype" w:hAnsi="Palatino Linotype"/>
          <w:i/>
        </w:rPr>
        <w:t>Faith and Rationality: Reason and Belief in God</w:t>
      </w:r>
      <w:r w:rsidRPr="00A00299">
        <w:rPr>
          <w:rFonts w:ascii="Palatino Linotype" w:hAnsi="Palatino Linotype"/>
        </w:rPr>
        <w:t xml:space="preserve">. Notre Dame: University of Notre Dame Press, 1983. </w:t>
      </w:r>
    </w:p>
    <w:p w14:paraId="245A6569" w14:textId="77777777" w:rsidR="00D74733" w:rsidRPr="00A00299" w:rsidRDefault="00D74733" w:rsidP="002A601F">
      <w:pPr>
        <w:pStyle w:val="EndnoteText"/>
        <w:rPr>
          <w:rFonts w:ascii="Palatino Linotype" w:hAnsi="Palatino Linotype"/>
        </w:rPr>
      </w:pPr>
      <w:r w:rsidRPr="00A00299">
        <w:rPr>
          <w:rFonts w:ascii="Palatino Linotype" w:hAnsi="Palatino Linotype"/>
        </w:rPr>
        <w:t xml:space="preserve">Ridge, Michael. </w:t>
      </w:r>
      <w:r w:rsidRPr="00A00299">
        <w:rPr>
          <w:rFonts w:ascii="Palatino Linotype" w:hAnsi="Palatino Linotype"/>
          <w:i/>
        </w:rPr>
        <w:t>Impassioned Belief</w:t>
      </w:r>
      <w:r w:rsidRPr="00A00299">
        <w:rPr>
          <w:rFonts w:ascii="Palatino Linotype" w:hAnsi="Palatino Linotype"/>
        </w:rPr>
        <w:t xml:space="preserve"> (Oxford, 2014) </w:t>
      </w:r>
    </w:p>
    <w:p w14:paraId="3AF130CE" w14:textId="77777777" w:rsidR="00D74733" w:rsidRPr="00A00299" w:rsidRDefault="00D74733" w:rsidP="002A601F">
      <w:pPr>
        <w:rPr>
          <w:rFonts w:ascii="Palatino Linotype" w:hAnsi="Palatino Linotype"/>
        </w:rPr>
      </w:pPr>
      <w:proofErr w:type="spellStart"/>
      <w:r w:rsidRPr="00A00299">
        <w:rPr>
          <w:rFonts w:ascii="Palatino Linotype" w:hAnsi="Palatino Linotype"/>
        </w:rPr>
        <w:t>Schwitzgbel</w:t>
      </w:r>
      <w:proofErr w:type="spellEnd"/>
      <w:r w:rsidRPr="00A00299">
        <w:rPr>
          <w:rFonts w:ascii="Palatino Linotype" w:hAnsi="Palatino Linotype"/>
        </w:rPr>
        <w:t xml:space="preserve">, Eric “A Dispositional Approach to Attitudes: Thinking Outside the Belief Box” </w:t>
      </w:r>
      <w:r w:rsidRPr="00A00299">
        <w:rPr>
          <w:rFonts w:ascii="Palatino Linotype" w:hAnsi="Palatino Linotype"/>
          <w:i/>
        </w:rPr>
        <w:t xml:space="preserve">Belief. </w:t>
      </w:r>
      <w:r w:rsidRPr="00A00299">
        <w:rPr>
          <w:rFonts w:ascii="Palatino Linotype" w:hAnsi="Palatino Linotype"/>
        </w:rPr>
        <w:t xml:space="preserve">N. </w:t>
      </w:r>
      <w:proofErr w:type="spellStart"/>
      <w:r w:rsidRPr="00A00299">
        <w:rPr>
          <w:rFonts w:ascii="Palatino Linotype" w:hAnsi="Palatino Linotype"/>
        </w:rPr>
        <w:t>Nottleman</w:t>
      </w:r>
      <w:proofErr w:type="spellEnd"/>
      <w:r w:rsidRPr="00A00299">
        <w:rPr>
          <w:rFonts w:ascii="Palatino Linotype" w:hAnsi="Palatino Linotype"/>
        </w:rPr>
        <w:t xml:space="preserve"> (ed). Palgrave, 2013.</w:t>
      </w:r>
    </w:p>
    <w:p w14:paraId="1F46E519" w14:textId="77777777" w:rsidR="00D74733" w:rsidRPr="00A00299" w:rsidRDefault="00D74733" w:rsidP="002A601F">
      <w:pPr>
        <w:rPr>
          <w:rFonts w:ascii="Palatino Linotype" w:eastAsia="Times New Roman" w:hAnsi="Palatino Linotype" w:cs="Times New Roman"/>
        </w:rPr>
      </w:pPr>
      <w:proofErr w:type="spellStart"/>
      <w:r w:rsidRPr="00A00299">
        <w:rPr>
          <w:rFonts w:ascii="Palatino Linotype" w:hAnsi="Palatino Linotype" w:cs="Times New Roman"/>
          <w:sz w:val="22"/>
          <w:szCs w:val="22"/>
        </w:rPr>
        <w:t>Schwitzgebel</w:t>
      </w:r>
      <w:proofErr w:type="spellEnd"/>
      <w:r w:rsidRPr="00A00299">
        <w:rPr>
          <w:rFonts w:ascii="Palatino Linotype" w:hAnsi="Palatino Linotype" w:cs="Times New Roman"/>
          <w:sz w:val="22"/>
          <w:szCs w:val="22"/>
        </w:rPr>
        <w:t xml:space="preserve">, Eric, "Belief", The Stanford Encyclopedia of Philosophy (Summer 2015 Edition),  Edward N. </w:t>
      </w:r>
      <w:proofErr w:type="spellStart"/>
      <w:r w:rsidRPr="00A00299">
        <w:rPr>
          <w:rFonts w:ascii="Palatino Linotype" w:hAnsi="Palatino Linotype" w:cs="Times New Roman"/>
          <w:sz w:val="22"/>
          <w:szCs w:val="22"/>
        </w:rPr>
        <w:t>Zalta</w:t>
      </w:r>
      <w:proofErr w:type="spellEnd"/>
      <w:r w:rsidRPr="00A00299">
        <w:rPr>
          <w:rFonts w:ascii="Palatino Linotype" w:hAnsi="Palatino Linotype" w:cs="Times New Roman"/>
          <w:sz w:val="22"/>
          <w:szCs w:val="22"/>
        </w:rPr>
        <w:t xml:space="preserve"> (ed.),&lt;http://plato.stanford.edu/archives/sum2015/entries/belief/</w:t>
      </w:r>
    </w:p>
    <w:p w14:paraId="2665A136" w14:textId="77777777" w:rsidR="00D74733" w:rsidRPr="00A00299" w:rsidRDefault="00D74733" w:rsidP="002A601F">
      <w:pPr>
        <w:pStyle w:val="EndnoteText"/>
        <w:rPr>
          <w:rFonts w:ascii="Palatino Linotype" w:hAnsi="Palatino Linotype"/>
        </w:rPr>
      </w:pPr>
      <w:r w:rsidRPr="00A00299">
        <w:rPr>
          <w:rFonts w:ascii="Palatino Linotype" w:hAnsi="Palatino Linotype"/>
        </w:rPr>
        <w:t xml:space="preserve">Shah, Nishi. “How Truth Governs Belief,” </w:t>
      </w:r>
      <w:r w:rsidRPr="00A00299">
        <w:rPr>
          <w:rFonts w:ascii="Palatino Linotype" w:hAnsi="Palatino Linotype"/>
          <w:i/>
        </w:rPr>
        <w:t xml:space="preserve">The Philosophical Review </w:t>
      </w:r>
      <w:r w:rsidRPr="00A00299">
        <w:rPr>
          <w:rFonts w:ascii="Palatino Linotype" w:hAnsi="Palatino Linotype"/>
        </w:rPr>
        <w:t>112, no. 4 (2003): 447-482.</w:t>
      </w:r>
    </w:p>
    <w:p w14:paraId="1D2BA4F5" w14:textId="17D34C4E" w:rsidR="00D74733" w:rsidRPr="00A00299" w:rsidRDefault="00D74733" w:rsidP="002A601F">
      <w:pPr>
        <w:pStyle w:val="EndnoteText"/>
        <w:rPr>
          <w:rFonts w:ascii="Palatino Linotype" w:hAnsi="Palatino Linotype"/>
        </w:rPr>
      </w:pPr>
      <w:r w:rsidRPr="00A00299">
        <w:rPr>
          <w:rFonts w:ascii="Palatino Linotype" w:hAnsi="Palatino Linotype"/>
        </w:rPr>
        <w:t xml:space="preserve">Sosa, Ernest. </w:t>
      </w:r>
      <w:r w:rsidRPr="00A00299">
        <w:rPr>
          <w:rFonts w:ascii="Palatino Linotype" w:hAnsi="Palatino Linotype"/>
          <w:i/>
        </w:rPr>
        <w:t>Knowing Full Well</w:t>
      </w:r>
      <w:r w:rsidRPr="00A00299">
        <w:rPr>
          <w:rFonts w:ascii="Palatino Linotype" w:hAnsi="Palatino Linotype"/>
        </w:rPr>
        <w:t xml:space="preserve">. Princeton: Princeton University Press, 2010. </w:t>
      </w:r>
    </w:p>
    <w:p w14:paraId="2E64085F" w14:textId="77777777" w:rsidR="00D74733" w:rsidRPr="00A00299" w:rsidRDefault="00D74733" w:rsidP="002A601F">
      <w:pPr>
        <w:outlineLvl w:val="0"/>
        <w:rPr>
          <w:rFonts w:ascii="Palatino Linotype" w:hAnsi="Palatino Linotype" w:cs="Times New Roman"/>
        </w:rPr>
      </w:pPr>
      <w:r w:rsidRPr="00A00299">
        <w:rPr>
          <w:rFonts w:ascii="Palatino Linotype" w:hAnsi="Palatino Linotype" w:cs="Times New Roman"/>
          <w:lang w:val="en-GB"/>
        </w:rPr>
        <w:t xml:space="preserve">Stroud, Sarah. “Epistemic Partiality in Friendship,” </w:t>
      </w:r>
      <w:r w:rsidRPr="00A00299">
        <w:rPr>
          <w:rFonts w:ascii="Palatino Linotype" w:hAnsi="Palatino Linotype" w:cs="Times New Roman"/>
          <w:i/>
        </w:rPr>
        <w:t xml:space="preserve">Ethics </w:t>
      </w:r>
      <w:r w:rsidRPr="00A00299">
        <w:rPr>
          <w:rFonts w:ascii="Palatino Linotype" w:hAnsi="Palatino Linotype" w:cs="Times New Roman"/>
        </w:rPr>
        <w:t xml:space="preserve">116, no. 3 (2006): 498-524. </w:t>
      </w:r>
    </w:p>
    <w:p w14:paraId="13ABA6C5" w14:textId="2AC5420E" w:rsidR="00D74733" w:rsidRDefault="00D74733" w:rsidP="002A601F">
      <w:pPr>
        <w:pStyle w:val="EndnoteText"/>
        <w:rPr>
          <w:rFonts w:ascii="Palatino Linotype" w:hAnsi="Palatino Linotype" w:cs="Times New Roman"/>
        </w:rPr>
      </w:pPr>
      <w:proofErr w:type="spellStart"/>
      <w:r w:rsidRPr="00A00299">
        <w:rPr>
          <w:rFonts w:ascii="Palatino Linotype" w:hAnsi="Palatino Linotype"/>
        </w:rPr>
        <w:t>Swartzer</w:t>
      </w:r>
      <w:proofErr w:type="spellEnd"/>
      <w:r w:rsidRPr="00A00299">
        <w:rPr>
          <w:rFonts w:ascii="Palatino Linotype" w:hAnsi="Palatino Linotype"/>
        </w:rPr>
        <w:t xml:space="preserve">, </w:t>
      </w:r>
      <w:proofErr w:type="spellStart"/>
      <w:r w:rsidRPr="00A00299">
        <w:rPr>
          <w:rFonts w:ascii="Palatino Linotype" w:hAnsi="Palatino Linotype"/>
        </w:rPr>
        <w:t>Steven,.“</w:t>
      </w:r>
      <w:r w:rsidRPr="00A00299">
        <w:rPr>
          <w:rFonts w:ascii="Palatino Linotype" w:hAnsi="Palatino Linotype" w:cs="Times New Roman"/>
        </w:rPr>
        <w:t>Appetitive</w:t>
      </w:r>
      <w:proofErr w:type="spellEnd"/>
      <w:r w:rsidRPr="00A00299">
        <w:rPr>
          <w:rFonts w:ascii="Palatino Linotype" w:hAnsi="Palatino Linotype" w:cs="Times New Roman"/>
        </w:rPr>
        <w:t xml:space="preserve"> </w:t>
      </w:r>
      <w:proofErr w:type="spellStart"/>
      <w:r w:rsidRPr="00A00299">
        <w:rPr>
          <w:rFonts w:ascii="Palatino Linotype" w:hAnsi="Palatino Linotype" w:cs="Times New Roman"/>
        </w:rPr>
        <w:t>Besires</w:t>
      </w:r>
      <w:proofErr w:type="spellEnd"/>
      <w:r w:rsidRPr="00A00299">
        <w:rPr>
          <w:rFonts w:ascii="Palatino Linotype" w:hAnsi="Palatino Linotype" w:cs="Times New Roman"/>
        </w:rPr>
        <w:t xml:space="preserve"> and the Fuss about Fit,” </w:t>
      </w:r>
      <w:r w:rsidRPr="00A00299">
        <w:rPr>
          <w:rFonts w:ascii="Palatino Linotype" w:hAnsi="Palatino Linotype" w:cs="Times New Roman"/>
          <w:i/>
        </w:rPr>
        <w:t xml:space="preserve">Philosophical Studies </w:t>
      </w:r>
      <w:r w:rsidRPr="00A00299">
        <w:rPr>
          <w:rFonts w:ascii="Palatino Linotype" w:hAnsi="Palatino Linotype" w:cs="Times New Roman"/>
        </w:rPr>
        <w:t>(2013) 165:975–988.</w:t>
      </w:r>
    </w:p>
    <w:p w14:paraId="6C83E1C2" w14:textId="2D9E23A2" w:rsidR="002A601F" w:rsidRPr="000B4081" w:rsidRDefault="002A601F" w:rsidP="002A601F">
      <w:pPr>
        <w:pStyle w:val="EndnoteText"/>
        <w:rPr>
          <w:rFonts w:ascii="Palatino Linotype" w:hAnsi="Palatino Linotype" w:cs="Times New Roman"/>
        </w:rPr>
      </w:pPr>
      <w:r>
        <w:rPr>
          <w:rFonts w:ascii="Palatino Linotype" w:hAnsi="Palatino Linotype" w:cs="Times New Roman"/>
        </w:rPr>
        <w:t>Sullivan-Bissett</w:t>
      </w:r>
      <w:r w:rsidR="000B4081">
        <w:rPr>
          <w:rFonts w:ascii="Palatino Linotype" w:hAnsi="Palatino Linotype" w:cs="Times New Roman"/>
        </w:rPr>
        <w:t xml:space="preserve"> “Unimpaired Abduction to Alien Abduction: Lesson on Delusion Formation,: </w:t>
      </w:r>
      <w:r w:rsidR="000B4081">
        <w:rPr>
          <w:rFonts w:ascii="Palatino Linotype" w:hAnsi="Palatino Linotype" w:cs="Times New Roman"/>
          <w:i/>
          <w:iCs/>
        </w:rPr>
        <w:t xml:space="preserve">Philosophical Psychology </w:t>
      </w:r>
      <w:r w:rsidR="000B4081">
        <w:rPr>
          <w:rFonts w:ascii="Palatino Linotype" w:hAnsi="Palatino Linotype" w:cs="Times New Roman"/>
        </w:rPr>
        <w:t>(2020)</w:t>
      </w:r>
    </w:p>
    <w:p w14:paraId="0B693A60" w14:textId="6A636B26" w:rsidR="0021000E" w:rsidRPr="006700A0" w:rsidRDefault="0021000E" w:rsidP="002A601F">
      <w:pPr>
        <w:pStyle w:val="EndnoteText"/>
        <w:rPr>
          <w:rFonts w:ascii="Palatino Linotype" w:hAnsi="Palatino Linotype" w:cs="Times New Roman"/>
        </w:rPr>
      </w:pPr>
      <w:proofErr w:type="spellStart"/>
      <w:r>
        <w:rPr>
          <w:rFonts w:ascii="Palatino Linotype" w:hAnsi="Palatino Linotype" w:cs="Times New Roman"/>
        </w:rPr>
        <w:t>Tappolet</w:t>
      </w:r>
      <w:proofErr w:type="spellEnd"/>
      <w:r>
        <w:rPr>
          <w:rFonts w:ascii="Palatino Linotype" w:hAnsi="Palatino Linotype" w:cs="Times New Roman"/>
        </w:rPr>
        <w:t>, Christine</w:t>
      </w:r>
      <w:r w:rsidR="006700A0">
        <w:rPr>
          <w:rFonts w:ascii="Palatino Linotype" w:hAnsi="Palatino Linotype" w:cs="Times New Roman"/>
        </w:rPr>
        <w:t xml:space="preserve">. </w:t>
      </w:r>
      <w:r w:rsidR="006700A0">
        <w:rPr>
          <w:rFonts w:ascii="Palatino Linotype" w:hAnsi="Palatino Linotype" w:cs="Times New Roman"/>
          <w:i/>
          <w:iCs/>
        </w:rPr>
        <w:t>Emotions, Values and Agency</w:t>
      </w:r>
      <w:r w:rsidR="006700A0">
        <w:rPr>
          <w:rFonts w:ascii="Palatino Linotype" w:hAnsi="Palatino Linotype" w:cs="Times New Roman"/>
        </w:rPr>
        <w:t xml:space="preserve"> (Oxford, 2016).</w:t>
      </w:r>
    </w:p>
    <w:p w14:paraId="79C28381" w14:textId="4E974707" w:rsidR="0021000E" w:rsidRPr="006700A0" w:rsidRDefault="0021000E" w:rsidP="002A601F">
      <w:pPr>
        <w:pStyle w:val="EndnoteText"/>
        <w:rPr>
          <w:rFonts w:ascii="Palatino Linotype" w:hAnsi="Palatino Linotype" w:cs="Times New Roman"/>
        </w:rPr>
      </w:pPr>
      <w:proofErr w:type="spellStart"/>
      <w:r>
        <w:rPr>
          <w:rFonts w:ascii="Palatino Linotype" w:hAnsi="Palatino Linotype" w:cs="Times New Roman"/>
        </w:rPr>
        <w:lastRenderedPageBreak/>
        <w:t>Tappolet</w:t>
      </w:r>
      <w:proofErr w:type="spellEnd"/>
      <w:r>
        <w:rPr>
          <w:rFonts w:ascii="Palatino Linotype" w:hAnsi="Palatino Linotype" w:cs="Times New Roman"/>
        </w:rPr>
        <w:t>, Christine</w:t>
      </w:r>
      <w:r w:rsidR="006700A0">
        <w:rPr>
          <w:rFonts w:ascii="Palatino Linotype" w:hAnsi="Palatino Linotype" w:cs="Times New Roman"/>
        </w:rPr>
        <w:t xml:space="preserve">, “Ambivalent Emotions and the Perceptual Account of Emotion,” </w:t>
      </w:r>
      <w:r w:rsidR="006700A0">
        <w:rPr>
          <w:rFonts w:ascii="Palatino Linotype" w:hAnsi="Palatino Linotype" w:cs="Times New Roman"/>
          <w:i/>
          <w:iCs/>
        </w:rPr>
        <w:t>Analysis</w:t>
      </w:r>
      <w:r w:rsidR="006700A0">
        <w:rPr>
          <w:rFonts w:ascii="Palatino Linotype" w:hAnsi="Palatino Linotype" w:cs="Times New Roman"/>
        </w:rPr>
        <w:t xml:space="preserve"> (2005): 229-233.</w:t>
      </w:r>
    </w:p>
    <w:p w14:paraId="29B4886F" w14:textId="77777777" w:rsidR="00997043" w:rsidRDefault="00D74733" w:rsidP="002A601F">
      <w:pPr>
        <w:widowControl w:val="0"/>
        <w:autoSpaceDE w:val="0"/>
        <w:autoSpaceDN w:val="0"/>
        <w:adjustRightInd w:val="0"/>
        <w:spacing w:after="240"/>
        <w:rPr>
          <w:rFonts w:ascii="Palatino Linotype" w:hAnsi="Palatino Linotype" w:cs="Cambria"/>
        </w:rPr>
      </w:pPr>
      <w:r w:rsidRPr="00A00299">
        <w:rPr>
          <w:rFonts w:ascii="Palatino Linotype" w:hAnsi="Palatino Linotype" w:cs="Times New Roman"/>
        </w:rPr>
        <w:t xml:space="preserve">Van Leeuwen, Neil. </w:t>
      </w:r>
      <w:r w:rsidRPr="00A00299">
        <w:rPr>
          <w:rFonts w:ascii="Palatino Linotype" w:hAnsi="Palatino Linotype" w:cs="Times New Roman"/>
          <w:lang w:val="en-GB"/>
        </w:rPr>
        <w:t>“</w:t>
      </w:r>
      <w:r w:rsidRPr="00A00299">
        <w:rPr>
          <w:rFonts w:ascii="Palatino Linotype" w:hAnsi="Palatino Linotype" w:cs="Cambria"/>
          <w:bCs/>
        </w:rPr>
        <w:t xml:space="preserve">Religious Credence is not Factual Belief,” </w:t>
      </w:r>
      <w:r w:rsidRPr="00A00299">
        <w:rPr>
          <w:rFonts w:ascii="Palatino Linotype" w:hAnsi="Palatino Linotype" w:cs="Cambria"/>
          <w:i/>
          <w:iCs/>
        </w:rPr>
        <w:t xml:space="preserve">Cognition </w:t>
      </w:r>
      <w:r w:rsidRPr="00A00299">
        <w:rPr>
          <w:rFonts w:ascii="Palatino Linotype" w:hAnsi="Palatino Linotype" w:cs="Cambria"/>
        </w:rPr>
        <w:t xml:space="preserve">133 (2014) 698-715. </w:t>
      </w:r>
    </w:p>
    <w:p w14:paraId="7C1ED44C" w14:textId="1EA48CA6" w:rsidR="002A601F" w:rsidRDefault="00D74733" w:rsidP="002A601F">
      <w:pPr>
        <w:widowControl w:val="0"/>
        <w:autoSpaceDE w:val="0"/>
        <w:autoSpaceDN w:val="0"/>
        <w:adjustRightInd w:val="0"/>
        <w:spacing w:after="240"/>
        <w:rPr>
          <w:rFonts w:ascii="Palatino Linotype" w:hAnsi="Palatino Linotype" w:cs="Cambria"/>
        </w:rPr>
      </w:pPr>
      <w:proofErr w:type="spellStart"/>
      <w:r w:rsidRPr="00A00299">
        <w:rPr>
          <w:rFonts w:ascii="Palatino Linotype" w:hAnsi="Palatino Linotype" w:cs="Times New Roman"/>
        </w:rPr>
        <w:t>Velleman</w:t>
      </w:r>
      <w:proofErr w:type="spellEnd"/>
      <w:r w:rsidRPr="00A00299">
        <w:rPr>
          <w:rFonts w:ascii="Palatino Linotype" w:hAnsi="Palatino Linotype" w:cs="Times New Roman"/>
        </w:rPr>
        <w:t xml:space="preserve">, David. </w:t>
      </w:r>
      <w:r w:rsidRPr="00A00299">
        <w:rPr>
          <w:rFonts w:ascii="Palatino Linotype" w:hAnsi="Palatino Linotype" w:cs="Times New Roman"/>
          <w:i/>
        </w:rPr>
        <w:t xml:space="preserve">The Possibility of Practical Reason. </w:t>
      </w:r>
      <w:r w:rsidRPr="00A00299">
        <w:rPr>
          <w:rFonts w:ascii="Palatino Linotype" w:hAnsi="Palatino Linotype" w:cs="Times New Roman"/>
        </w:rPr>
        <w:t xml:space="preserve">Oxford: Oxford University Press, 2000.   </w:t>
      </w:r>
      <w:r w:rsidRPr="00A00299">
        <w:rPr>
          <w:rFonts w:ascii="Palatino Linotype" w:hAnsi="Palatino Linotype" w:cs="Times New Roman"/>
          <w:iCs/>
        </w:rPr>
        <w:t xml:space="preserve">Wedgwood, Ralph. “The Aim of Belief,” In </w:t>
      </w:r>
      <w:r w:rsidRPr="00A00299">
        <w:rPr>
          <w:rFonts w:ascii="Palatino Linotype" w:hAnsi="Palatino Linotype" w:cs="Times New Roman"/>
          <w:i/>
          <w:iCs/>
        </w:rPr>
        <w:t>Philosophical Perspectives</w:t>
      </w:r>
      <w:r w:rsidRPr="00A00299">
        <w:rPr>
          <w:rFonts w:ascii="Palatino Linotype" w:hAnsi="Palatino Linotype" w:cs="Times New Roman"/>
          <w:iCs/>
        </w:rPr>
        <w:t xml:space="preserve"> 16, (2002).  </w:t>
      </w:r>
    </w:p>
    <w:p w14:paraId="0D5C94B5" w14:textId="46C2A3E9" w:rsidR="002A601F" w:rsidRPr="000B4081" w:rsidRDefault="005A65C6" w:rsidP="002A601F">
      <w:pPr>
        <w:widowControl w:val="0"/>
        <w:autoSpaceDE w:val="0"/>
        <w:autoSpaceDN w:val="0"/>
        <w:adjustRightInd w:val="0"/>
        <w:spacing w:after="240"/>
        <w:rPr>
          <w:rFonts w:ascii="Palatino Linotype" w:hAnsi="Palatino Linotype" w:cs="Cambria"/>
          <w:iCs/>
        </w:rPr>
      </w:pPr>
      <w:proofErr w:type="spellStart"/>
      <w:r w:rsidRPr="00A00299">
        <w:rPr>
          <w:rFonts w:ascii="Palatino Linotype" w:hAnsi="Palatino Linotype" w:cs="Times New Roman"/>
          <w:iCs/>
        </w:rPr>
        <w:t>Viedge</w:t>
      </w:r>
      <w:proofErr w:type="spellEnd"/>
      <w:r w:rsidR="002A601F">
        <w:rPr>
          <w:rFonts w:ascii="Palatino Linotype" w:hAnsi="Palatino Linotype" w:cs="Times New Roman"/>
          <w:iCs/>
        </w:rPr>
        <w:t>, Nikolai. “Defending Evidence-Re</w:t>
      </w:r>
      <w:r w:rsidR="000B4081">
        <w:rPr>
          <w:rFonts w:ascii="Palatino Linotype" w:hAnsi="Palatino Linotype" w:cs="Times New Roman"/>
          <w:iCs/>
        </w:rPr>
        <w:t>s</w:t>
      </w:r>
      <w:r w:rsidR="002A601F">
        <w:rPr>
          <w:rFonts w:ascii="Palatino Linotype" w:hAnsi="Palatino Linotype" w:cs="Times New Roman"/>
          <w:iCs/>
        </w:rPr>
        <w:t>i</w:t>
      </w:r>
      <w:r w:rsidR="000B4081">
        <w:rPr>
          <w:rFonts w:ascii="Palatino Linotype" w:hAnsi="Palatino Linotype" w:cs="Times New Roman"/>
          <w:iCs/>
        </w:rPr>
        <w:t xml:space="preserve">stant Beliefs,”  </w:t>
      </w:r>
      <w:r w:rsidR="000B4081">
        <w:rPr>
          <w:rFonts w:ascii="Palatino Linotype" w:hAnsi="Palatino Linotype" w:cs="Times New Roman"/>
          <w:i/>
        </w:rPr>
        <w:t>Pacific Philosophical Quarterly</w:t>
      </w:r>
      <w:r w:rsidR="000B4081">
        <w:rPr>
          <w:rFonts w:ascii="Palatino Linotype" w:hAnsi="Palatino Linotype" w:cs="Times New Roman"/>
          <w:iCs/>
        </w:rPr>
        <w:t xml:space="preserve"> (2016): 517-537.</w:t>
      </w:r>
    </w:p>
    <w:p w14:paraId="2E38635B" w14:textId="2C3C924C" w:rsidR="00084F00" w:rsidRPr="002A601F" w:rsidRDefault="00C20E07" w:rsidP="002A601F">
      <w:pPr>
        <w:widowControl w:val="0"/>
        <w:autoSpaceDE w:val="0"/>
        <w:autoSpaceDN w:val="0"/>
        <w:adjustRightInd w:val="0"/>
        <w:spacing w:after="240"/>
        <w:rPr>
          <w:rFonts w:ascii="Palatino Linotype" w:hAnsi="Palatino Linotype" w:cs="Cambria"/>
        </w:rPr>
      </w:pPr>
      <w:r w:rsidRPr="00E3527F">
        <w:rPr>
          <w:rFonts w:ascii="Palatino Linotype" w:eastAsia="Times New Roman" w:hAnsi="Palatino Linotype" w:cs="Times New Roman"/>
          <w:color w:val="000000"/>
          <w:shd w:val="clear" w:color="auto" w:fill="FFFFFF"/>
        </w:rPr>
        <w:t>Wright, Crispin.</w:t>
      </w:r>
      <w:r w:rsidRPr="00736605">
        <w:rPr>
          <w:rFonts w:ascii="Palatino Linotype" w:eastAsia="Times New Roman" w:hAnsi="Palatino Linotype" w:cs="Times New Roman"/>
          <w:color w:val="000000"/>
          <w:shd w:val="clear" w:color="auto" w:fill="FFFFFF"/>
        </w:rPr>
        <w:t xml:space="preserve"> 2004.</w:t>
      </w:r>
      <w:r w:rsidRPr="00E3527F">
        <w:rPr>
          <w:rFonts w:ascii="Palatino Linotype" w:eastAsia="Times New Roman" w:hAnsi="Palatino Linotype" w:cs="Times New Roman"/>
          <w:color w:val="000000"/>
          <w:shd w:val="clear" w:color="auto" w:fill="FFFFFF"/>
        </w:rPr>
        <w:t xml:space="preserve"> "Warrant for Nothing (and Foundations for Free).¨ </w:t>
      </w:r>
      <w:r w:rsidRPr="00736605">
        <w:rPr>
          <w:rFonts w:ascii="Palatino Linotype" w:eastAsia="Times New Roman" w:hAnsi="Palatino Linotype" w:cs="Times New Roman"/>
          <w:i/>
          <w:iCs/>
          <w:color w:val="000000"/>
          <w:bdr w:val="none" w:sz="0" w:space="0" w:color="auto" w:frame="1"/>
          <w:shd w:val="clear" w:color="auto" w:fill="FFFFFF"/>
        </w:rPr>
        <w:t>Proceedings of the Aristotelian Society </w:t>
      </w:r>
      <w:r w:rsidRPr="00736605">
        <w:rPr>
          <w:rFonts w:ascii="Palatino Linotype" w:eastAsia="Times New Roman" w:hAnsi="Palatino Linotype" w:cs="Times New Roman"/>
          <w:color w:val="000000"/>
          <w:shd w:val="clear" w:color="auto" w:fill="FFFFFF"/>
        </w:rPr>
        <w:t>104</w:t>
      </w:r>
      <w:r w:rsidRPr="00E3527F">
        <w:rPr>
          <w:rFonts w:ascii="Palatino Linotype" w:eastAsia="Times New Roman" w:hAnsi="Palatino Linotype" w:cs="Times New Roman"/>
          <w:color w:val="000000"/>
          <w:shd w:val="clear" w:color="auto" w:fill="FFFFFF"/>
        </w:rPr>
        <w:t>: 167-211.</w:t>
      </w:r>
    </w:p>
    <w:p w14:paraId="14334B15" w14:textId="77777777" w:rsidR="00C74F8A" w:rsidRPr="00A00299" w:rsidRDefault="00C74F8A" w:rsidP="00FF0D93">
      <w:pPr>
        <w:spacing w:line="480" w:lineRule="auto"/>
        <w:ind w:left="-90"/>
        <w:rPr>
          <w:rFonts w:ascii="Palatino Linotype" w:hAnsi="Palatino Linotype" w:cs="Times New Roman"/>
          <w:b/>
        </w:rPr>
      </w:pPr>
    </w:p>
    <w:p w14:paraId="110E29A7" w14:textId="32539010" w:rsidR="00755054" w:rsidRPr="00A00299" w:rsidRDefault="00DA14A4" w:rsidP="00FF0D93">
      <w:pPr>
        <w:spacing w:line="480" w:lineRule="auto"/>
        <w:rPr>
          <w:rFonts w:ascii="Palatino Linotype" w:hAnsi="Palatino Linotype"/>
          <w:sz w:val="20"/>
          <w:szCs w:val="20"/>
        </w:rPr>
      </w:pPr>
      <w:r w:rsidRPr="00A00299">
        <w:rPr>
          <w:rFonts w:ascii="Palatino Linotype" w:hAnsi="Palatino Linotype"/>
        </w:rPr>
        <w:tab/>
      </w:r>
    </w:p>
    <w:p w14:paraId="2DB4A8EB" w14:textId="2474824D" w:rsidR="004974F3" w:rsidRPr="00A00299" w:rsidRDefault="00601063" w:rsidP="00FF0D93">
      <w:pPr>
        <w:spacing w:line="480" w:lineRule="auto"/>
        <w:rPr>
          <w:rFonts w:ascii="Palatino Linotype" w:hAnsi="Palatino Linotype"/>
          <w:sz w:val="20"/>
          <w:szCs w:val="20"/>
        </w:rPr>
      </w:pPr>
      <w:r w:rsidRPr="00A00299">
        <w:rPr>
          <w:rFonts w:ascii="Palatino Linotype" w:hAnsi="Palatino Linotype"/>
          <w:sz w:val="20"/>
          <w:szCs w:val="20"/>
        </w:rPr>
        <w:t xml:space="preserve"> </w:t>
      </w:r>
    </w:p>
    <w:sectPr w:rsidR="004974F3" w:rsidRPr="00A00299" w:rsidSect="00967FB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8899F" w14:textId="77777777" w:rsidR="001E61CD" w:rsidRDefault="001E61CD" w:rsidP="004D5FD3">
      <w:r>
        <w:separator/>
      </w:r>
    </w:p>
  </w:endnote>
  <w:endnote w:type="continuationSeparator" w:id="0">
    <w:p w14:paraId="30171DE7" w14:textId="77777777" w:rsidR="001E61CD" w:rsidRDefault="001E61CD" w:rsidP="004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5770" w14:textId="77777777" w:rsidR="0091670A" w:rsidRDefault="0091670A" w:rsidP="00413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C7773" w14:textId="77777777" w:rsidR="0091670A" w:rsidRDefault="0091670A" w:rsidP="000F6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C123" w14:textId="77777777" w:rsidR="0091670A" w:rsidRDefault="0091670A" w:rsidP="00413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7922FB" w14:textId="77777777" w:rsidR="0091670A" w:rsidRDefault="0091670A" w:rsidP="000F66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C9C2" w14:textId="77777777" w:rsidR="001E61CD" w:rsidRDefault="001E61CD" w:rsidP="004D5FD3">
      <w:r>
        <w:separator/>
      </w:r>
    </w:p>
  </w:footnote>
  <w:footnote w:type="continuationSeparator" w:id="0">
    <w:p w14:paraId="1B15E524" w14:textId="77777777" w:rsidR="001E61CD" w:rsidRDefault="001E61CD" w:rsidP="004D5FD3">
      <w:r>
        <w:continuationSeparator/>
      </w:r>
    </w:p>
  </w:footnote>
  <w:footnote w:id="1">
    <w:p w14:paraId="51AAD06F" w14:textId="2468C9EA" w:rsidR="0091670A" w:rsidRPr="00302DF0" w:rsidRDefault="0091670A" w:rsidP="00A00299">
      <w:pPr>
        <w:pStyle w:val="FootnoteText"/>
        <w:rPr>
          <w:rFonts w:ascii="Garamond" w:hAnsi="Garamond"/>
          <w:sz w:val="22"/>
          <w:szCs w:val="22"/>
        </w:rPr>
      </w:pPr>
      <w:r>
        <w:rPr>
          <w:rStyle w:val="FootnoteReference"/>
        </w:rPr>
        <w:footnoteRef/>
      </w:r>
      <w:r>
        <w:t xml:space="preserve"> </w:t>
      </w:r>
      <w:r w:rsidRPr="00A00299">
        <w:rPr>
          <w:rFonts w:ascii="Palatino Linotype" w:hAnsi="Palatino Linotype"/>
          <w:sz w:val="20"/>
          <w:szCs w:val="20"/>
        </w:rPr>
        <w:t xml:space="preserve">Cognitive attitudes  present their content as true, but beliefs are not the only attitudes that do and so many </w:t>
      </w:r>
      <w:r>
        <w:rPr>
          <w:rFonts w:ascii="Palatino Linotype" w:hAnsi="Palatino Linotype"/>
          <w:sz w:val="20"/>
          <w:szCs w:val="20"/>
        </w:rPr>
        <w:t xml:space="preserve">accounts  to articulate </w:t>
      </w:r>
      <w:r w:rsidRPr="00A00299">
        <w:rPr>
          <w:rFonts w:ascii="Palatino Linotype" w:hAnsi="Palatino Linotype"/>
          <w:sz w:val="20"/>
          <w:szCs w:val="20"/>
        </w:rPr>
        <w:t>what distinguishes belief from other cognitive attitudes such as imagination, assumption, acceptance.  David Hunter (</w:t>
      </w:r>
      <w:proofErr w:type="spellStart"/>
      <w:r w:rsidRPr="00A00299">
        <w:rPr>
          <w:rFonts w:ascii="Palatino Linotype" w:hAnsi="Palatino Linotype"/>
          <w:sz w:val="20"/>
          <w:szCs w:val="20"/>
        </w:rPr>
        <w:t>ms.</w:t>
      </w:r>
      <w:proofErr w:type="spellEnd"/>
      <w:r w:rsidRPr="00A00299">
        <w:rPr>
          <w:rFonts w:ascii="Palatino Linotype" w:hAnsi="Palatino Linotype"/>
          <w:sz w:val="20"/>
          <w:szCs w:val="20"/>
        </w:rPr>
        <w:t>) has recently argued that if beliefs are states, we should resist saying they are true or false as they have no semantic properties. While I think Hunter is right to push for clarification here, when philosophers, and most of us most of time, talk about beliefs being true, they usually mean the content of what is believed.</w:t>
      </w:r>
    </w:p>
  </w:footnote>
  <w:footnote w:id="2">
    <w:p w14:paraId="4907DC40" w14:textId="4D9970DF" w:rsidR="0091670A" w:rsidRPr="00745070" w:rsidRDefault="0091670A" w:rsidP="00A00299">
      <w:pPr>
        <w:pStyle w:val="FootnoteText"/>
        <w:rPr>
          <w:rFonts w:ascii="Garamond" w:hAnsi="Garamond"/>
          <w:sz w:val="22"/>
          <w:szCs w:val="22"/>
        </w:rPr>
      </w:pPr>
      <w:r w:rsidRPr="00CA29FD">
        <w:rPr>
          <w:rStyle w:val="FootnoteReference"/>
          <w:sz w:val="22"/>
        </w:rPr>
        <w:footnoteRef/>
      </w:r>
      <w:r w:rsidRPr="00CA29FD">
        <w:rPr>
          <w:sz w:val="22"/>
        </w:rPr>
        <w:t xml:space="preserve"> </w:t>
      </w:r>
      <w:r w:rsidRPr="009F0F16">
        <w:rPr>
          <w:rFonts w:ascii="Garamond" w:hAnsi="Garamond"/>
          <w:sz w:val="22"/>
          <w:szCs w:val="22"/>
        </w:rPr>
        <w:t xml:space="preserve">Those who are sometimes called conservatives about “cognitive phenomenology” hold this view. See </w:t>
      </w:r>
      <w:r>
        <w:rPr>
          <w:rFonts w:ascii="Garamond" w:hAnsi="Garamond"/>
          <w:sz w:val="22"/>
          <w:szCs w:val="22"/>
        </w:rPr>
        <w:t>Bayne and Montague (2011).</w:t>
      </w:r>
    </w:p>
  </w:footnote>
  <w:footnote w:id="3">
    <w:p w14:paraId="1E2B93F8" w14:textId="74D2600F" w:rsidR="0091670A" w:rsidRPr="00A00299" w:rsidRDefault="0091670A">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For some this means that if one recognizes evidence which undermines one’s belief, one will thereby lose the belief, namely that what it </w:t>
      </w:r>
      <w:r w:rsidRPr="00A00299">
        <w:rPr>
          <w:rFonts w:ascii="Palatino Linotype" w:hAnsi="Palatino Linotype"/>
          <w:i/>
          <w:iCs/>
          <w:sz w:val="20"/>
          <w:szCs w:val="20"/>
        </w:rPr>
        <w:t>means</w:t>
      </w:r>
      <w:r w:rsidRPr="00A00299">
        <w:rPr>
          <w:rFonts w:ascii="Palatino Linotype" w:hAnsi="Palatino Linotype"/>
          <w:sz w:val="20"/>
          <w:szCs w:val="20"/>
        </w:rPr>
        <w:t xml:space="preserve"> to believe is that you take it to be evidentially supported. Those who support this view include, among others, Adler (2002),  </w:t>
      </w:r>
      <w:proofErr w:type="spellStart"/>
      <w:r w:rsidRPr="00A00299">
        <w:rPr>
          <w:rFonts w:ascii="Palatino Linotype" w:hAnsi="Palatino Linotype"/>
          <w:sz w:val="20"/>
          <w:szCs w:val="20"/>
        </w:rPr>
        <w:t>Gendler</w:t>
      </w:r>
      <w:proofErr w:type="spellEnd"/>
      <w:r w:rsidRPr="00A00299">
        <w:rPr>
          <w:rFonts w:ascii="Palatino Linotype" w:hAnsi="Palatino Linotype"/>
          <w:sz w:val="20"/>
          <w:szCs w:val="20"/>
        </w:rPr>
        <w:t xml:space="preserve"> (2008) Shah (2003),  Van </w:t>
      </w:r>
      <w:proofErr w:type="spellStart"/>
      <w:r w:rsidRPr="00A00299">
        <w:rPr>
          <w:rFonts w:ascii="Palatino Linotype" w:hAnsi="Palatino Linotype"/>
          <w:sz w:val="20"/>
          <w:szCs w:val="20"/>
        </w:rPr>
        <w:t>Leuuwen</w:t>
      </w:r>
      <w:proofErr w:type="spellEnd"/>
      <w:r w:rsidRPr="00A00299">
        <w:rPr>
          <w:rFonts w:ascii="Palatino Linotype" w:hAnsi="Palatino Linotype"/>
          <w:sz w:val="20"/>
          <w:szCs w:val="20"/>
        </w:rPr>
        <w:t xml:space="preserve"> (2014) </w:t>
      </w:r>
      <w:proofErr w:type="spellStart"/>
      <w:r w:rsidRPr="00A00299">
        <w:rPr>
          <w:rFonts w:ascii="Palatino Linotype" w:hAnsi="Palatino Linotype"/>
          <w:sz w:val="20"/>
          <w:szCs w:val="20"/>
        </w:rPr>
        <w:t>Velleman</w:t>
      </w:r>
      <w:proofErr w:type="spellEnd"/>
      <w:r w:rsidRPr="00A00299">
        <w:rPr>
          <w:rFonts w:ascii="Palatino Linotype" w:hAnsi="Palatino Linotype"/>
          <w:sz w:val="20"/>
          <w:szCs w:val="20"/>
        </w:rPr>
        <w:t xml:space="preserve">(2000). But the revisability condition can be read it in a weaker sense to mean that one has the capacity to revise one’s belief even if one actually does not. Grace Helton (2018) has recently defended the view that is a necessary condition of belief that it is revisable in this weaker sense. </w:t>
      </w:r>
    </w:p>
  </w:footnote>
  <w:footnote w:id="4">
    <w:p w14:paraId="33AC7B22" w14:textId="31B3C35C" w:rsidR="0091670A" w:rsidRDefault="0091670A">
      <w:pPr>
        <w:pStyle w:val="FootnoteText"/>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Another necessary condition that is often articulated to delineate belief from other mental states are that they are “inferentially promiscuous,” or  available as premises though a wide range of inferences.</w:t>
      </w:r>
      <w:r>
        <w:t xml:space="preserve"> </w:t>
      </w:r>
    </w:p>
  </w:footnote>
  <w:footnote w:id="5">
    <w:p w14:paraId="5AA897C1" w14:textId="6C3D3907" w:rsidR="0091670A" w:rsidRDefault="0091670A" w:rsidP="00A00299">
      <w:pPr>
        <w:pStyle w:val="p1"/>
        <w:rPr>
          <w:rFonts w:ascii="Garamond" w:hAnsi="Garamond"/>
          <w:sz w:val="22"/>
          <w:szCs w:val="22"/>
        </w:rPr>
      </w:pPr>
      <w:r w:rsidRPr="00CA29FD">
        <w:rPr>
          <w:rStyle w:val="FootnoteReference"/>
          <w:rFonts w:ascii="Garamond" w:hAnsi="Garamond"/>
          <w:sz w:val="22"/>
          <w:szCs w:val="22"/>
        </w:rPr>
        <w:footnoteRef/>
      </w:r>
      <w:r>
        <w:t xml:space="preserve"> </w:t>
      </w:r>
      <w:proofErr w:type="spellStart"/>
      <w:r w:rsidRPr="00A00299">
        <w:rPr>
          <w:rFonts w:ascii="Palatino Linotype" w:hAnsi="Palatino Linotype"/>
          <w:sz w:val="20"/>
          <w:szCs w:val="20"/>
        </w:rPr>
        <w:t>Ganapini</w:t>
      </w:r>
      <w:proofErr w:type="spellEnd"/>
      <w:r w:rsidRPr="00A00299">
        <w:rPr>
          <w:rFonts w:ascii="Palatino Linotype" w:hAnsi="Palatino Linotype"/>
          <w:sz w:val="20"/>
          <w:szCs w:val="20"/>
        </w:rPr>
        <w:t xml:space="preserve"> ( 2019) calls this view “strong traditionalism.” She recognizes that this view is at risk of depopulating  the category of belief in a problematic way. She and Helton (2018) both agree that a theory of belief should preserve the idea that humans have many beliefs. They both offer a less strict way of thinking about what is distinctive about belief so that is can still allow some irrational states to count as beliefs, though both accept that their views </w:t>
      </w:r>
      <w:r>
        <w:rPr>
          <w:rFonts w:ascii="Palatino Linotype" w:hAnsi="Palatino Linotype"/>
          <w:sz w:val="20"/>
          <w:szCs w:val="20"/>
        </w:rPr>
        <w:t xml:space="preserve">may </w:t>
      </w:r>
      <w:r w:rsidRPr="00A00299">
        <w:rPr>
          <w:rFonts w:ascii="Palatino Linotype" w:hAnsi="Palatino Linotype"/>
          <w:sz w:val="20"/>
          <w:szCs w:val="20"/>
        </w:rPr>
        <w:t xml:space="preserve">be somewhat revisionist.  The kind of revisability and rationality conditions they propose would allow for all the problematic states I discuss here to be beliefs. Further they seem to apply to emotions as well. Indeed </w:t>
      </w:r>
      <w:r>
        <w:rPr>
          <w:rFonts w:ascii="Palatino Linotype" w:hAnsi="Palatino Linotype"/>
          <w:sz w:val="20"/>
          <w:szCs w:val="20"/>
        </w:rPr>
        <w:t xml:space="preserve">Christine </w:t>
      </w:r>
      <w:proofErr w:type="spellStart"/>
      <w:r w:rsidRPr="00A00299">
        <w:rPr>
          <w:rFonts w:ascii="Palatino Linotype" w:hAnsi="Palatino Linotype"/>
          <w:sz w:val="20"/>
          <w:szCs w:val="20"/>
        </w:rPr>
        <w:t>Tappolet</w:t>
      </w:r>
      <w:proofErr w:type="spellEnd"/>
      <w:r w:rsidRPr="00A00299">
        <w:rPr>
          <w:rFonts w:ascii="Palatino Linotype" w:hAnsi="Palatino Linotype"/>
          <w:sz w:val="20"/>
          <w:szCs w:val="20"/>
        </w:rPr>
        <w:t xml:space="preserve"> (2016) argues that the charge of irrationality indicates that “if there is something wrong, some action </w:t>
      </w:r>
      <w:r w:rsidRPr="00A00299">
        <w:rPr>
          <w:rFonts w:ascii="Palatino Linotype" w:hAnsi="Palatino Linotype"/>
          <w:i/>
          <w:iCs/>
          <w:sz w:val="20"/>
          <w:szCs w:val="20"/>
        </w:rPr>
        <w:t xml:space="preserve">ought </w:t>
      </w:r>
      <w:r w:rsidRPr="00A00299">
        <w:rPr>
          <w:rFonts w:ascii="Palatino Linotype" w:hAnsi="Palatino Linotype"/>
          <w:sz w:val="20"/>
          <w:szCs w:val="20"/>
        </w:rPr>
        <w:t>to be taken to improve the reliability of our emotional system…there is some hope we can get rid of inappropriate emotions” (38)</w:t>
      </w:r>
      <w:r>
        <w:rPr>
          <w:rFonts w:ascii="Palatino Linotype" w:hAnsi="Palatino Linotype"/>
          <w:sz w:val="20"/>
          <w:szCs w:val="20"/>
        </w:rPr>
        <w:t xml:space="preserve"> and so it seems they are revisable in Helton’s week sense, and adhere to </w:t>
      </w:r>
      <w:proofErr w:type="spellStart"/>
      <w:r>
        <w:rPr>
          <w:rFonts w:ascii="Palatino Linotype" w:hAnsi="Palatino Linotype"/>
          <w:sz w:val="20"/>
          <w:szCs w:val="20"/>
        </w:rPr>
        <w:t>Ganapini’s</w:t>
      </w:r>
      <w:proofErr w:type="spellEnd"/>
      <w:r>
        <w:rPr>
          <w:rFonts w:ascii="Palatino Linotype" w:hAnsi="Palatino Linotype"/>
          <w:sz w:val="20"/>
          <w:szCs w:val="20"/>
        </w:rPr>
        <w:t xml:space="preserve"> minimal rationality constraint.</w:t>
      </w:r>
    </w:p>
    <w:p w14:paraId="4CE867D7" w14:textId="77777777" w:rsidR="0091670A" w:rsidRPr="00B47D3C" w:rsidRDefault="0091670A" w:rsidP="00B47D3C">
      <w:pPr>
        <w:pStyle w:val="p1"/>
        <w:spacing w:line="480" w:lineRule="auto"/>
        <w:rPr>
          <w:rFonts w:ascii="Garamond" w:hAnsi="Garamond"/>
          <w:sz w:val="22"/>
          <w:szCs w:val="22"/>
        </w:rPr>
      </w:pPr>
    </w:p>
  </w:footnote>
  <w:footnote w:id="6">
    <w:p w14:paraId="545F658D" w14:textId="7E3156FC" w:rsidR="0091670A" w:rsidRPr="00A00299" w:rsidRDefault="0091670A" w:rsidP="00A00299">
      <w:pPr>
        <w:pStyle w:val="p1"/>
        <w:rPr>
          <w:rFonts w:ascii="Palatino Linotype" w:hAnsi="Palatino Linotype" w:cs="Times New Roman"/>
          <w:sz w:val="20"/>
          <w:szCs w:val="20"/>
        </w:rPr>
      </w:pPr>
      <w:r w:rsidRPr="000B723C">
        <w:rPr>
          <w:rStyle w:val="FootnoteReference"/>
          <w:rFonts w:ascii="Garamond" w:hAnsi="Garamond"/>
          <w:sz w:val="22"/>
        </w:rPr>
        <w:footnoteRef/>
      </w:r>
      <w:r>
        <w:t xml:space="preserve"> </w:t>
      </w:r>
      <w:r w:rsidRPr="00A00299">
        <w:rPr>
          <w:rFonts w:ascii="Palatino Linotype" w:hAnsi="Palatino Linotype"/>
          <w:sz w:val="20"/>
          <w:szCs w:val="20"/>
        </w:rPr>
        <w:t xml:space="preserve">For an illuminating discussion of these problematic states see: </w:t>
      </w:r>
      <w:r w:rsidRPr="00A00299">
        <w:rPr>
          <w:rFonts w:ascii="Palatino Linotype" w:eastAsia="Times New Roman" w:hAnsi="Palatino Linotype" w:cs="Times New Roman"/>
          <w:color w:val="1A1A1A"/>
          <w:sz w:val="20"/>
          <w:szCs w:val="20"/>
          <w:shd w:val="clear" w:color="auto" w:fill="FFFFFF"/>
          <w:lang w:eastAsia="en-US"/>
        </w:rPr>
        <w:t xml:space="preserve">Bayne, T. and </w:t>
      </w:r>
      <w:proofErr w:type="spellStart"/>
      <w:r w:rsidRPr="00A00299">
        <w:rPr>
          <w:rFonts w:ascii="Palatino Linotype" w:eastAsia="Times New Roman" w:hAnsi="Palatino Linotype" w:cs="Times New Roman"/>
          <w:color w:val="1A1A1A"/>
          <w:sz w:val="20"/>
          <w:szCs w:val="20"/>
          <w:shd w:val="clear" w:color="auto" w:fill="FFFFFF"/>
          <w:lang w:eastAsia="en-US"/>
        </w:rPr>
        <w:t>Hattiangadi</w:t>
      </w:r>
      <w:proofErr w:type="spellEnd"/>
      <w:r w:rsidRPr="00A00299">
        <w:rPr>
          <w:rFonts w:ascii="Palatino Linotype" w:eastAsia="Times New Roman" w:hAnsi="Palatino Linotype" w:cs="Times New Roman"/>
          <w:color w:val="1A1A1A"/>
          <w:sz w:val="20"/>
          <w:szCs w:val="20"/>
          <w:shd w:val="clear" w:color="auto" w:fill="FFFFFF"/>
          <w:lang w:eastAsia="en-US"/>
        </w:rPr>
        <w:t>, A. (2013). They refer to the category of “quasi-beliefs” as those which “are belief-like in some respect but not all respects” and that “</w:t>
      </w:r>
      <w:r w:rsidRPr="00A00299">
        <w:rPr>
          <w:rFonts w:ascii="Palatino Linotype" w:hAnsi="Palatino Linotype" w:cs="Times New Roman"/>
          <w:sz w:val="20"/>
          <w:szCs w:val="20"/>
        </w:rPr>
        <w:t>fail to fully conform to the functional role characteristic of belief” (125); these are seen as “bedfellows” of belief,</w:t>
      </w:r>
      <w:r w:rsidRPr="00A00299">
        <w:rPr>
          <w:rFonts w:ascii="Palatino Linotype" w:eastAsia="Times New Roman" w:hAnsi="Palatino Linotype" w:cs="Times New Roman"/>
          <w:color w:val="1A1A1A"/>
          <w:sz w:val="20"/>
          <w:szCs w:val="20"/>
          <w:shd w:val="clear" w:color="auto" w:fill="FFFFFF"/>
          <w:lang w:eastAsia="en-US"/>
        </w:rPr>
        <w:t xml:space="preserve"> and the challenge is to explain what is going on in these cases. This is what they call “the bedfellow challenge.”  They canvass and criticize a number of strategies for accounting for such states and conclude that even if some of these accounts can help make sense of how these states play causal roles in behavior, they rightfully point out: “</w:t>
      </w:r>
      <w:r w:rsidRPr="00A00299">
        <w:rPr>
          <w:rFonts w:ascii="Palatino Linotype" w:hAnsi="Palatino Linotype" w:cs="Times New Roman"/>
          <w:sz w:val="20"/>
          <w:szCs w:val="20"/>
        </w:rPr>
        <w:t xml:space="preserve">Talk of belief is not only in the business of providing causal explanations of </w:t>
      </w:r>
      <w:proofErr w:type="spellStart"/>
      <w:r w:rsidRPr="00A00299">
        <w:rPr>
          <w:rFonts w:ascii="Palatino Linotype" w:hAnsi="Palatino Linotype" w:cs="Times New Roman"/>
          <w:sz w:val="20"/>
          <w:szCs w:val="20"/>
        </w:rPr>
        <w:t>behaviour</w:t>
      </w:r>
      <w:proofErr w:type="spellEnd"/>
      <w:r w:rsidRPr="00A00299">
        <w:rPr>
          <w:rFonts w:ascii="Palatino Linotype" w:hAnsi="Palatino Linotype" w:cs="Times New Roman"/>
          <w:sz w:val="20"/>
          <w:szCs w:val="20"/>
        </w:rPr>
        <w:t>, it is also – and perhaps even more fundamentally – in the business of making ourselves intelligible to each other as rational creatures. And from this perspective the bedfellow challenge emerges as deeply problematic, for we don’t know how to think of rationality when it comes to the borderlands of belief</w:t>
      </w:r>
      <w:r w:rsidRPr="00A00299">
        <w:rPr>
          <w:rFonts w:ascii="Palatino Linotype" w:eastAsia="Times New Roman" w:hAnsi="Palatino Linotype" w:cs="Times New Roman"/>
          <w:color w:val="1A1A1A"/>
          <w:sz w:val="20"/>
          <w:szCs w:val="20"/>
          <w:shd w:val="clear" w:color="auto" w:fill="FFFFFF"/>
          <w:lang w:eastAsia="en-US"/>
        </w:rPr>
        <w:t xml:space="preserve">” (140-141). </w:t>
      </w:r>
      <w:proofErr w:type="spellStart"/>
      <w:r w:rsidRPr="00A00299">
        <w:rPr>
          <w:rFonts w:ascii="Palatino Linotype" w:eastAsia="Times New Roman" w:hAnsi="Palatino Linotype" w:cs="Times New Roman"/>
          <w:color w:val="1A1A1A"/>
          <w:sz w:val="20"/>
          <w:szCs w:val="20"/>
          <w:shd w:val="clear" w:color="auto" w:fill="FFFFFF"/>
          <w:lang w:eastAsia="en-US"/>
        </w:rPr>
        <w:t>Schwitzgebel</w:t>
      </w:r>
      <w:proofErr w:type="spellEnd"/>
      <w:r w:rsidRPr="00A00299">
        <w:rPr>
          <w:rFonts w:ascii="Palatino Linotype" w:eastAsia="Times New Roman" w:hAnsi="Palatino Linotype" w:cs="Times New Roman"/>
          <w:color w:val="1A1A1A"/>
          <w:sz w:val="20"/>
          <w:szCs w:val="20"/>
          <w:shd w:val="clear" w:color="auto" w:fill="FFFFFF"/>
          <w:lang w:eastAsia="en-US"/>
        </w:rPr>
        <w:t xml:space="preserve"> (2010) also critiques a number of ways of addressing some of these problematic cases, and argues that they should be understood as examples of vague or “in-between” beliefs “where careful description of the subject’s mental state requires refraining from either ascribing or denying belief” (533).  Bayne and </w:t>
      </w:r>
      <w:proofErr w:type="spellStart"/>
      <w:r w:rsidRPr="00A00299">
        <w:rPr>
          <w:rFonts w:ascii="Palatino Linotype" w:eastAsia="Times New Roman" w:hAnsi="Palatino Linotype" w:cs="Times New Roman"/>
          <w:color w:val="1A1A1A"/>
          <w:sz w:val="20"/>
          <w:szCs w:val="20"/>
          <w:shd w:val="clear" w:color="auto" w:fill="FFFFFF"/>
          <w:lang w:eastAsia="en-US"/>
        </w:rPr>
        <w:t>Hattiangadi</w:t>
      </w:r>
      <w:proofErr w:type="spellEnd"/>
      <w:r w:rsidRPr="00A00299">
        <w:rPr>
          <w:rFonts w:ascii="Palatino Linotype" w:eastAsia="Times New Roman" w:hAnsi="Palatino Linotype" w:cs="Times New Roman"/>
          <w:color w:val="1A1A1A"/>
          <w:sz w:val="20"/>
          <w:szCs w:val="20"/>
          <w:shd w:val="clear" w:color="auto" w:fill="FFFFFF"/>
          <w:lang w:eastAsia="en-US"/>
        </w:rPr>
        <w:t xml:space="preserve"> point out that it is unclear “</w:t>
      </w:r>
      <w:r w:rsidRPr="00A00299">
        <w:rPr>
          <w:rFonts w:ascii="Palatino Linotype" w:hAnsi="Palatino Linotype" w:cs="Times New Roman"/>
          <w:sz w:val="20"/>
          <w:szCs w:val="20"/>
        </w:rPr>
        <w:t xml:space="preserve">how the fuzzy conception of belief might accommodate the rational dimensions of belief-talk.” (140) Part of </w:t>
      </w:r>
      <w:proofErr w:type="spellStart"/>
      <w:r w:rsidRPr="00A00299">
        <w:rPr>
          <w:rFonts w:ascii="Palatino Linotype" w:eastAsia="Times New Roman" w:hAnsi="Palatino Linotype" w:cs="Times New Roman"/>
          <w:color w:val="1A1A1A"/>
          <w:sz w:val="20"/>
          <w:szCs w:val="20"/>
          <w:shd w:val="clear" w:color="auto" w:fill="FFFFFF"/>
          <w:lang w:eastAsia="en-US"/>
        </w:rPr>
        <w:t>Schwitzgebel’s</w:t>
      </w:r>
      <w:proofErr w:type="spellEnd"/>
      <w:r w:rsidRPr="00A00299">
        <w:rPr>
          <w:rFonts w:ascii="Palatino Linotype" w:eastAsia="Times New Roman" w:hAnsi="Palatino Linotype" w:cs="Times New Roman"/>
          <w:color w:val="1A1A1A"/>
          <w:sz w:val="20"/>
          <w:szCs w:val="20"/>
          <w:shd w:val="clear" w:color="auto" w:fill="FFFFFF"/>
          <w:lang w:eastAsia="en-US"/>
        </w:rPr>
        <w:t xml:space="preserve"> point, I take it, is that in such cases we cannot easily and decisively say whether one’s belief or behavior is irrational but need to acknowledge the complexity and, at times, messiness of our mental lives. I will argue that if we think of beliefs as emotions then we capture these elements of complexity, but it also offers us a model to think about belief’s rationality; we should assess beliefs’ rationality as we do emotions.</w:t>
      </w:r>
    </w:p>
    <w:p w14:paraId="17FD6F99" w14:textId="7954A67B" w:rsidR="0091670A" w:rsidRPr="00A56A9C" w:rsidRDefault="0091670A" w:rsidP="00E4034D">
      <w:pPr>
        <w:widowControl w:val="0"/>
        <w:autoSpaceDE w:val="0"/>
        <w:autoSpaceDN w:val="0"/>
        <w:adjustRightInd w:val="0"/>
        <w:spacing w:line="480" w:lineRule="auto"/>
        <w:rPr>
          <w:rFonts w:ascii="Garamond" w:hAnsi="Garamond" w:cs="Times New Roman"/>
          <w:sz w:val="22"/>
          <w:szCs w:val="22"/>
        </w:rPr>
      </w:pPr>
    </w:p>
  </w:footnote>
  <w:footnote w:id="7">
    <w:p w14:paraId="2520299D" w14:textId="27C7A5D7" w:rsidR="0091670A" w:rsidRPr="00A00299" w:rsidRDefault="0091670A" w:rsidP="00A00299">
      <w:pPr>
        <w:rPr>
          <w:rFonts w:ascii="Palatino Linotype" w:eastAsia="Times New Roman" w:hAnsi="Palatino Linotype" w:cs="Times New Roman"/>
          <w:sz w:val="20"/>
          <w:szCs w:val="20"/>
          <w:lang w:eastAsia="en-US"/>
        </w:rPr>
      </w:pPr>
      <w:r>
        <w:rPr>
          <w:rStyle w:val="FootnoteReference"/>
        </w:rPr>
        <w:footnoteRef/>
      </w:r>
      <w:r>
        <w:t xml:space="preserve"> </w:t>
      </w:r>
      <w:r w:rsidRPr="00A00299">
        <w:rPr>
          <w:rFonts w:ascii="Palatino Linotype" w:hAnsi="Palatino Linotype"/>
          <w:sz w:val="20"/>
          <w:szCs w:val="20"/>
        </w:rPr>
        <w:t xml:space="preserve">For an overview of the literature and for some ways in which these components are described see; </w:t>
      </w:r>
      <w:r w:rsidRPr="00A00299">
        <w:rPr>
          <w:rFonts w:ascii="Palatino Linotype" w:eastAsia="Times New Roman" w:hAnsi="Palatino Linotype" w:cs="Arial"/>
          <w:color w:val="1A1A1A"/>
          <w:sz w:val="20"/>
          <w:szCs w:val="20"/>
          <w:lang w:eastAsia="en-US"/>
        </w:rPr>
        <w:t>de Sousa, Ronald, "Emotion", </w:t>
      </w:r>
      <w:r w:rsidRPr="00A00299">
        <w:rPr>
          <w:rFonts w:ascii="Palatino Linotype" w:eastAsia="Times New Roman" w:hAnsi="Palatino Linotype" w:cs="Arial"/>
          <w:i/>
          <w:iCs/>
          <w:color w:val="1A1A1A"/>
          <w:sz w:val="20"/>
          <w:szCs w:val="20"/>
          <w:lang w:eastAsia="en-US"/>
        </w:rPr>
        <w:t>The Stanford Encyclopedia of Philosophy </w:t>
      </w:r>
      <w:r w:rsidRPr="00A00299">
        <w:rPr>
          <w:rFonts w:ascii="Palatino Linotype" w:eastAsia="Times New Roman" w:hAnsi="Palatino Linotype" w:cs="Arial"/>
          <w:color w:val="1A1A1A"/>
          <w:sz w:val="20"/>
          <w:szCs w:val="20"/>
          <w:lang w:eastAsia="en-US"/>
        </w:rPr>
        <w:t xml:space="preserve">(Spring 2014 Edition), Edward N. </w:t>
      </w:r>
      <w:proofErr w:type="spellStart"/>
      <w:r w:rsidRPr="00A00299">
        <w:rPr>
          <w:rFonts w:ascii="Palatino Linotype" w:eastAsia="Times New Roman" w:hAnsi="Palatino Linotype" w:cs="Arial"/>
          <w:color w:val="1A1A1A"/>
          <w:sz w:val="20"/>
          <w:szCs w:val="20"/>
          <w:lang w:eastAsia="en-US"/>
        </w:rPr>
        <w:t>Zalta</w:t>
      </w:r>
      <w:proofErr w:type="spellEnd"/>
      <w:r w:rsidRPr="00A00299">
        <w:rPr>
          <w:rFonts w:ascii="Palatino Linotype" w:eastAsia="Times New Roman" w:hAnsi="Palatino Linotype" w:cs="Arial"/>
          <w:color w:val="1A1A1A"/>
          <w:sz w:val="20"/>
          <w:szCs w:val="20"/>
          <w:lang w:eastAsia="en-US"/>
        </w:rPr>
        <w:t xml:space="preserve"> (ed.), URL = </w:t>
      </w:r>
      <w:hyperlink r:id="rId1" w:history="1">
        <w:r w:rsidRPr="00A00299">
          <w:rPr>
            <w:rStyle w:val="Hyperlink"/>
            <w:rFonts w:ascii="Palatino Linotype" w:eastAsia="Times New Roman" w:hAnsi="Palatino Linotype" w:cs="Arial"/>
            <w:sz w:val="20"/>
            <w:szCs w:val="20"/>
            <w:lang w:eastAsia="en-US"/>
          </w:rPr>
          <w:t>http://plato.stanford.edu/archives/spr2014/entries/emotion/</w:t>
        </w:r>
      </w:hyperlink>
      <w:r w:rsidRPr="00A00299">
        <w:rPr>
          <w:rFonts w:ascii="Palatino Linotype" w:eastAsia="Times New Roman" w:hAnsi="Palatino Linotype" w:cs="Arial"/>
          <w:color w:val="1A1A1A"/>
          <w:sz w:val="20"/>
          <w:szCs w:val="20"/>
          <w:lang w:eastAsia="en-US"/>
        </w:rPr>
        <w:t xml:space="preserve">, and for an overview of the challenges that a number of theories face see the first chapter of </w:t>
      </w:r>
      <w:proofErr w:type="spellStart"/>
      <w:r w:rsidRPr="00A00299">
        <w:rPr>
          <w:rFonts w:ascii="Palatino Linotype" w:eastAsia="Times New Roman" w:hAnsi="Palatino Linotype" w:cs="Arial"/>
          <w:color w:val="1A1A1A"/>
          <w:sz w:val="20"/>
          <w:szCs w:val="20"/>
          <w:lang w:eastAsia="en-US"/>
        </w:rPr>
        <w:t>Tappolet</w:t>
      </w:r>
      <w:proofErr w:type="spellEnd"/>
      <w:r w:rsidRPr="00A00299">
        <w:rPr>
          <w:rFonts w:ascii="Palatino Linotype" w:eastAsia="Times New Roman" w:hAnsi="Palatino Linotype" w:cs="Arial"/>
          <w:color w:val="1A1A1A"/>
          <w:sz w:val="20"/>
          <w:szCs w:val="20"/>
          <w:lang w:eastAsia="en-US"/>
        </w:rPr>
        <w:t xml:space="preserve"> (2016)</w:t>
      </w:r>
    </w:p>
    <w:p w14:paraId="5DE9413A" w14:textId="77777777" w:rsidR="0091670A" w:rsidRPr="00A00299" w:rsidRDefault="0091670A" w:rsidP="00A00299">
      <w:pPr>
        <w:pStyle w:val="FootnoteText"/>
        <w:rPr>
          <w:rFonts w:ascii="Palatino Linotype" w:hAnsi="Palatino Linotype"/>
          <w:sz w:val="20"/>
          <w:szCs w:val="20"/>
        </w:rPr>
      </w:pPr>
    </w:p>
  </w:footnote>
  <w:footnote w:id="8">
    <w:p w14:paraId="43E6EDDB" w14:textId="110C8A7E" w:rsidR="0091670A" w:rsidRPr="00A00299" w:rsidRDefault="0091670A">
      <w:pPr>
        <w:pStyle w:val="FootnoteText"/>
        <w:rPr>
          <w:rFonts w:ascii="Palatino Linotype" w:hAnsi="Palatino Linotype"/>
          <w:sz w:val="20"/>
          <w:szCs w:val="20"/>
        </w:rPr>
      </w:pPr>
      <w:r>
        <w:rPr>
          <w:rStyle w:val="FootnoteReference"/>
        </w:rPr>
        <w:footnoteRef/>
      </w:r>
      <w:r>
        <w:t xml:space="preserve"> </w:t>
      </w:r>
      <w:r w:rsidRPr="00A00299">
        <w:rPr>
          <w:rFonts w:ascii="Palatino Linotype" w:hAnsi="Palatino Linotype"/>
          <w:sz w:val="20"/>
          <w:szCs w:val="20"/>
        </w:rPr>
        <w:t xml:space="preserve">See Helm (2001) for further discussion on this point. He says of emotions that they “are unitary and not compound states of evaluative feeling, states involving elements of both cognition and conation simultaneously” (2001, 59). Helm realizes that describing emotions as feelings of this very particular kind runs afoul of the cognitive-conative divide, that is the view that all states must be either one or the other, and argues that the divide should be rejected because an adequate account of the phenomenology of emotions cannot be provided while it remains. I agree and one upshot of my view is that an adequate account of the phenomenology of belief cannot be provided while it remains. </w:t>
      </w:r>
      <w:proofErr w:type="spellStart"/>
      <w:r w:rsidRPr="00A00299">
        <w:rPr>
          <w:rFonts w:ascii="Palatino Linotype" w:hAnsi="Palatino Linotype"/>
          <w:sz w:val="20"/>
          <w:szCs w:val="20"/>
        </w:rPr>
        <w:t>Tappolet</w:t>
      </w:r>
      <w:proofErr w:type="spellEnd"/>
      <w:r w:rsidRPr="00A00299">
        <w:rPr>
          <w:rFonts w:ascii="Palatino Linotype" w:hAnsi="Palatino Linotype"/>
          <w:sz w:val="20"/>
          <w:szCs w:val="20"/>
        </w:rPr>
        <w:t xml:space="preserve"> (2016)’s view that emotions are kinds of perceptions </w:t>
      </w:r>
      <w:r>
        <w:rPr>
          <w:rFonts w:ascii="Palatino Linotype" w:hAnsi="Palatino Linotype"/>
          <w:sz w:val="20"/>
          <w:szCs w:val="20"/>
        </w:rPr>
        <w:t xml:space="preserve">may </w:t>
      </w:r>
      <w:r w:rsidRPr="00A00299">
        <w:rPr>
          <w:rFonts w:ascii="Palatino Linotype" w:hAnsi="Palatino Linotype"/>
          <w:sz w:val="20"/>
          <w:szCs w:val="20"/>
        </w:rPr>
        <w:t>also offer</w:t>
      </w:r>
      <w:r>
        <w:rPr>
          <w:rFonts w:ascii="Palatino Linotype" w:hAnsi="Palatino Linotype"/>
          <w:sz w:val="20"/>
          <w:szCs w:val="20"/>
        </w:rPr>
        <w:t xml:space="preserve"> </w:t>
      </w:r>
      <w:r w:rsidRPr="00A00299">
        <w:rPr>
          <w:rFonts w:ascii="Palatino Linotype" w:hAnsi="Palatino Linotype"/>
          <w:sz w:val="20"/>
          <w:szCs w:val="20"/>
        </w:rPr>
        <w:t>a way of incorporating the cognitive, motivational, and feeling aspects into one state.</w:t>
      </w:r>
    </w:p>
  </w:footnote>
  <w:footnote w:id="9">
    <w:p w14:paraId="58783C10" w14:textId="38021143" w:rsidR="0091670A" w:rsidRPr="00026E95" w:rsidRDefault="0091670A" w:rsidP="00A00299">
      <w:pPr>
        <w:pStyle w:val="FootnoteText"/>
        <w:rPr>
          <w:sz w:val="22"/>
          <w:szCs w:val="22"/>
        </w:rPr>
      </w:pPr>
      <w:r>
        <w:rPr>
          <w:rStyle w:val="FootnoteReference"/>
        </w:rPr>
        <w:footnoteRef/>
      </w:r>
      <w:r>
        <w:t xml:space="preserve"> </w:t>
      </w:r>
      <w:r w:rsidRPr="00A00299">
        <w:rPr>
          <w:rFonts w:ascii="Palatino Linotype" w:hAnsi="Palatino Linotype"/>
          <w:sz w:val="20"/>
          <w:szCs w:val="20"/>
        </w:rPr>
        <w:t>Brady may overstate what is required for irrationality. That one is inclined (in some sense) to assent to the appearance that the stick is bent in the water when one knows it is straight, is not irrational. Still, even such inclinations create a kind of tension, and take some work to resist. That such inclinations can at times be so strong that they are given in to, even when one sees they are not based on good reasons, is all that matters for my account of belief. I elaborate some on this  kind of case further below.</w:t>
      </w:r>
    </w:p>
  </w:footnote>
  <w:footnote w:id="10">
    <w:p w14:paraId="396F04D7" w14:textId="77777777" w:rsidR="0091670A" w:rsidRPr="00670E28" w:rsidRDefault="0091670A" w:rsidP="00A00299">
      <w:pPr>
        <w:ind w:left="-90"/>
        <w:rPr>
          <w:rFonts w:ascii="Garamond" w:hAnsi="Garamond" w:cs="Times New Roman"/>
        </w:rPr>
      </w:pPr>
      <w:r>
        <w:rPr>
          <w:rStyle w:val="FootnoteReference"/>
        </w:rPr>
        <w:footnoteRef/>
      </w:r>
      <w:r>
        <w:t xml:space="preserve"> </w:t>
      </w:r>
      <w:r w:rsidRPr="00880DAC">
        <w:rPr>
          <w:sz w:val="22"/>
          <w:szCs w:val="22"/>
        </w:rPr>
        <w:t xml:space="preserve"> </w:t>
      </w:r>
      <w:r w:rsidRPr="00A00299">
        <w:rPr>
          <w:rFonts w:ascii="Palatino Linotype" w:hAnsi="Palatino Linotype"/>
          <w:sz w:val="20"/>
          <w:szCs w:val="20"/>
        </w:rPr>
        <w:t>Describing the nature of this component is difficult, but I will attempt to say more about it below. Jonathan Cohen has argued that what distinguishes belief from acceptance is that when one believes something one “feels” it true in a way that one does not if one only accepts it. I want to take seriously the idea that beliefs involve such “credal feelings.”</w:t>
      </w:r>
      <w:r>
        <w:rPr>
          <w:rFonts w:ascii="Garamond" w:hAnsi="Garamond" w:cs="Times New Roman"/>
          <w:sz w:val="22"/>
          <w:szCs w:val="22"/>
        </w:rPr>
        <w:t xml:space="preserve"> </w:t>
      </w:r>
    </w:p>
  </w:footnote>
  <w:footnote w:id="11">
    <w:p w14:paraId="59163A8A" w14:textId="77777777" w:rsidR="0091670A" w:rsidRPr="00A00299" w:rsidRDefault="0091670A" w:rsidP="00A00299">
      <w:pPr>
        <w:pStyle w:val="FootnoteText"/>
        <w:rPr>
          <w:rFonts w:ascii="Palatino Linotype" w:hAnsi="Palatino Linotype"/>
          <w:sz w:val="20"/>
          <w:szCs w:val="20"/>
        </w:rPr>
      </w:pPr>
      <w:r>
        <w:rPr>
          <w:rStyle w:val="FootnoteReference"/>
        </w:rPr>
        <w:footnoteRef/>
      </w:r>
      <w:r>
        <w:t xml:space="preserve"> </w:t>
      </w:r>
      <w:r w:rsidRPr="00A00299">
        <w:rPr>
          <w:rFonts w:ascii="Palatino Linotype" w:hAnsi="Palatino Linotype"/>
          <w:sz w:val="20"/>
          <w:szCs w:val="20"/>
        </w:rPr>
        <w:t xml:space="preserve">For a helpful discussion of the difficulty of defining delusions and the differences between different kinds of delusions, see Lisa </w:t>
      </w:r>
      <w:proofErr w:type="spellStart"/>
      <w:r w:rsidRPr="00A00299">
        <w:rPr>
          <w:rFonts w:ascii="Palatino Linotype" w:hAnsi="Palatino Linotype"/>
          <w:sz w:val="20"/>
          <w:szCs w:val="20"/>
        </w:rPr>
        <w:t>Bortolotti’s</w:t>
      </w:r>
      <w:proofErr w:type="spellEnd"/>
      <w:r w:rsidRPr="00A00299">
        <w:rPr>
          <w:rFonts w:ascii="Palatino Linotype" w:hAnsi="Palatino Linotype"/>
          <w:sz w:val="20"/>
          <w:szCs w:val="20"/>
        </w:rPr>
        <w:t xml:space="preserve"> (2010) introduction.</w:t>
      </w:r>
    </w:p>
  </w:footnote>
  <w:footnote w:id="12">
    <w:p w14:paraId="44D0AC8E" w14:textId="0EE23D01"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This is how DSM-5 defines delusions. It also refers to them as “beliefs,” but many philosophers dispute this categorization. </w:t>
      </w:r>
    </w:p>
  </w:footnote>
  <w:footnote w:id="13">
    <w:p w14:paraId="1478970F" w14:textId="054CDC61" w:rsidR="0091670A" w:rsidRPr="00A00299" w:rsidRDefault="0091670A" w:rsidP="00A00299">
      <w:pPr>
        <w:widowControl w:val="0"/>
        <w:autoSpaceDE w:val="0"/>
        <w:autoSpaceDN w:val="0"/>
        <w:adjustRightInd w:val="0"/>
        <w:rPr>
          <w:rFonts w:ascii="Palatino Linotype" w:hAnsi="Palatino Linotype" w:cs="Times New Roman"/>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What has come to be called “non-</w:t>
      </w:r>
      <w:proofErr w:type="spellStart"/>
      <w:r w:rsidRPr="00A00299">
        <w:rPr>
          <w:rFonts w:ascii="Palatino Linotype" w:hAnsi="Palatino Linotype"/>
          <w:sz w:val="20"/>
          <w:szCs w:val="20"/>
        </w:rPr>
        <w:t>doxasticism</w:t>
      </w:r>
      <w:proofErr w:type="spellEnd"/>
      <w:r w:rsidRPr="00A00299">
        <w:rPr>
          <w:rFonts w:ascii="Palatino Linotype" w:hAnsi="Palatino Linotype"/>
          <w:sz w:val="20"/>
          <w:szCs w:val="20"/>
        </w:rPr>
        <w:t xml:space="preserve">” about delusions is widespread though there is disagreement concerning how to categorize the non-belief state that characterizes delusions. Greg Currie (2000), for example, argues that many delusions are better understood as imaginings that one mistakes as beliefs, he says they </w:t>
      </w:r>
      <w:r w:rsidRPr="00A00299">
        <w:rPr>
          <w:rFonts w:ascii="Palatino Linotype" w:hAnsi="Palatino Linotype" w:cs="Times New Roman"/>
          <w:sz w:val="20"/>
          <w:szCs w:val="20"/>
        </w:rPr>
        <w:t xml:space="preserve">would “sometimes be better described as a delusional </w:t>
      </w:r>
      <w:proofErr w:type="spellStart"/>
      <w:r w:rsidRPr="00A00299">
        <w:rPr>
          <w:rFonts w:ascii="Palatino Linotype" w:hAnsi="Palatino Linotype" w:cs="Times New Roman"/>
          <w:sz w:val="20"/>
          <w:szCs w:val="20"/>
        </w:rPr>
        <w:t>metabelief</w:t>
      </w:r>
      <w:proofErr w:type="spellEnd"/>
      <w:r w:rsidRPr="00A00299">
        <w:rPr>
          <w:rFonts w:ascii="Palatino Linotype" w:hAnsi="Palatino Linotype" w:cs="Times New Roman"/>
          <w:sz w:val="20"/>
          <w:szCs w:val="20"/>
        </w:rPr>
        <w:t xml:space="preserve"> based on a cognitive hallucination”; </w:t>
      </w:r>
      <w:r w:rsidRPr="00A00299">
        <w:rPr>
          <w:rFonts w:ascii="Palatino Linotype" w:hAnsi="Palatino Linotype"/>
          <w:sz w:val="20"/>
          <w:szCs w:val="20"/>
        </w:rPr>
        <w:t>one misrepresents imaginings as beliefs.  His main reason for thinking they are not beliefs is because they fail to play the role that beliefs play in action and they are not evidence-sensitive. Andy Egan (2009) argues that to make sense of delusions we need to introduce a new mental state called “</w:t>
      </w:r>
      <w:proofErr w:type="spellStart"/>
      <w:r w:rsidRPr="00A00299">
        <w:rPr>
          <w:rFonts w:ascii="Palatino Linotype" w:hAnsi="Palatino Linotype"/>
          <w:sz w:val="20"/>
          <w:szCs w:val="20"/>
        </w:rPr>
        <w:t>bimagination</w:t>
      </w:r>
      <w:proofErr w:type="spellEnd"/>
      <w:r w:rsidRPr="00A00299">
        <w:rPr>
          <w:rFonts w:ascii="Palatino Linotype" w:hAnsi="Palatino Linotype"/>
          <w:sz w:val="20"/>
          <w:szCs w:val="20"/>
        </w:rPr>
        <w:t xml:space="preserve">” which should be understood as “something </w:t>
      </w:r>
      <w:r w:rsidRPr="00A00299">
        <w:rPr>
          <w:rFonts w:ascii="Palatino Linotype" w:hAnsi="Palatino Linotype"/>
          <w:i/>
          <w:iCs/>
          <w:sz w:val="20"/>
          <w:szCs w:val="20"/>
        </w:rPr>
        <w:t xml:space="preserve">in between </w:t>
      </w:r>
      <w:r w:rsidRPr="00A00299">
        <w:rPr>
          <w:rFonts w:ascii="Palatino Linotype" w:hAnsi="Palatino Linotype"/>
          <w:sz w:val="20"/>
          <w:szCs w:val="20"/>
        </w:rPr>
        <w:t>paradigmatic belief and paradigmatic imagination – that delusional subjects are in states that play a role in their cognitive economies that is in some respects like that of a standard–issue, stereotypical belief that P and in other respects like that of a standard-issue, stereotypical imagining that P.” Part of what I will be urging is that what is often thought of as paradigmatic believing is actually a restrictive subset of the stereotype.  Richard Dub (2015) has argued that delusions should be classified as acceptances based on a certain kind of affective state. Again, one of the main features Dub identifies that reveals delusions are not beliefs is that they are unresponsive to evidence.</w:t>
      </w:r>
    </w:p>
  </w:footnote>
  <w:footnote w:id="14">
    <w:p w14:paraId="7147DB42" w14:textId="084A0238" w:rsidR="0091670A" w:rsidRPr="00A00299" w:rsidRDefault="0091670A" w:rsidP="00A00299">
      <w:pPr>
        <w:widowControl w:val="0"/>
        <w:autoSpaceDE w:val="0"/>
        <w:autoSpaceDN w:val="0"/>
        <w:adjustRightInd w:val="0"/>
        <w:rPr>
          <w:rFonts w:ascii="Palatino Linotype" w:hAnsi="Palatino Linotype" w:cs="Times New Roman"/>
          <w:color w:val="131313"/>
          <w:sz w:val="20"/>
          <w:szCs w:val="20"/>
        </w:rPr>
      </w:pPr>
      <w:r>
        <w:rPr>
          <w:rStyle w:val="FootnoteReference"/>
        </w:rPr>
        <w:footnoteRef/>
      </w:r>
      <w:r>
        <w:t xml:space="preserve"> </w:t>
      </w:r>
      <w:r w:rsidRPr="00A00299">
        <w:rPr>
          <w:rFonts w:ascii="Palatino Linotype" w:hAnsi="Palatino Linotype"/>
          <w:sz w:val="20"/>
          <w:szCs w:val="20"/>
        </w:rPr>
        <w:t xml:space="preserve">In a discussion defending her view that most delusions should be seen as beliefs, </w:t>
      </w:r>
      <w:proofErr w:type="spellStart"/>
      <w:r w:rsidRPr="00A00299">
        <w:rPr>
          <w:rFonts w:ascii="Palatino Linotype" w:hAnsi="Palatino Linotype"/>
          <w:sz w:val="20"/>
          <w:szCs w:val="20"/>
        </w:rPr>
        <w:t>Bortolotti</w:t>
      </w:r>
      <w:proofErr w:type="spellEnd"/>
      <w:r w:rsidRPr="00A00299">
        <w:rPr>
          <w:rFonts w:ascii="Palatino Linotype" w:hAnsi="Palatino Linotype"/>
          <w:sz w:val="20"/>
          <w:szCs w:val="20"/>
        </w:rPr>
        <w:t xml:space="preserve"> (2011) points out that both their </w:t>
      </w:r>
      <w:proofErr w:type="spellStart"/>
      <w:r w:rsidRPr="00A00299">
        <w:rPr>
          <w:rFonts w:ascii="Palatino Linotype" w:hAnsi="Palatino Linotype"/>
          <w:sz w:val="20"/>
          <w:szCs w:val="20"/>
        </w:rPr>
        <w:t>unrevisable</w:t>
      </w:r>
      <w:proofErr w:type="spellEnd"/>
      <w:r w:rsidRPr="00A00299">
        <w:rPr>
          <w:rFonts w:ascii="Palatino Linotype" w:hAnsi="Palatino Linotype"/>
          <w:sz w:val="20"/>
          <w:szCs w:val="20"/>
        </w:rPr>
        <w:t xml:space="preserve"> nature, as well as their discontinuity with behavior, is often exaggerated by those who deny them belief status. </w:t>
      </w:r>
      <w:r w:rsidRPr="00A00299">
        <w:rPr>
          <w:rFonts w:ascii="Palatino Linotype" w:hAnsi="Palatino Linotype" w:cs="Times New Roman"/>
          <w:color w:val="131313"/>
          <w:sz w:val="20"/>
          <w:szCs w:val="20"/>
        </w:rPr>
        <w:t xml:space="preserve">She says, “Delusions are typically resistant to counterevidence, more so than ordinary beliefs, but it is probably an exaggeration to say that ‘normal reality testing is powerless against delusions.’ Three sources of information recommend caution: the consideration of clinical case studies; the evidence on the effectiveness of cognitive probing (often in the context of cognitive </w:t>
      </w:r>
      <w:proofErr w:type="spellStart"/>
      <w:r w:rsidRPr="00A00299">
        <w:rPr>
          <w:rFonts w:ascii="Palatino Linotype" w:hAnsi="Palatino Linotype" w:cs="Times New Roman"/>
          <w:color w:val="131313"/>
          <w:sz w:val="20"/>
          <w:szCs w:val="20"/>
        </w:rPr>
        <w:t>behavioural</w:t>
      </w:r>
      <w:proofErr w:type="spellEnd"/>
      <w:r w:rsidRPr="00A00299">
        <w:rPr>
          <w:rFonts w:ascii="Palatino Linotype" w:hAnsi="Palatino Linotype" w:cs="Times New Roman"/>
          <w:color w:val="131313"/>
          <w:sz w:val="20"/>
          <w:szCs w:val="20"/>
        </w:rPr>
        <w:t xml:space="preserve"> therapy) in the treatment of delusions; and the reports of people who successfully manage their delusions.” </w:t>
      </w:r>
    </w:p>
  </w:footnote>
  <w:footnote w:id="15">
    <w:p w14:paraId="78DA1DC2" w14:textId="6E788C86"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Nikolai </w:t>
      </w:r>
      <w:proofErr w:type="spellStart"/>
      <w:r w:rsidRPr="00A00299">
        <w:rPr>
          <w:rFonts w:ascii="Palatino Linotype" w:hAnsi="Palatino Linotype"/>
          <w:sz w:val="20"/>
          <w:szCs w:val="20"/>
        </w:rPr>
        <w:t>Viedge</w:t>
      </w:r>
      <w:proofErr w:type="spellEnd"/>
      <w:r w:rsidRPr="00A00299">
        <w:rPr>
          <w:rFonts w:ascii="Palatino Linotype" w:hAnsi="Palatino Linotype"/>
          <w:sz w:val="20"/>
          <w:szCs w:val="20"/>
        </w:rPr>
        <w:t xml:space="preserve"> (2016) raises a similar worry about </w:t>
      </w:r>
      <w:proofErr w:type="spellStart"/>
      <w:r w:rsidRPr="00A00299">
        <w:rPr>
          <w:rFonts w:ascii="Palatino Linotype" w:hAnsi="Palatino Linotype"/>
          <w:sz w:val="20"/>
          <w:szCs w:val="20"/>
        </w:rPr>
        <w:t>Velleman’s</w:t>
      </w:r>
      <w:proofErr w:type="spellEnd"/>
      <w:r w:rsidRPr="00A00299">
        <w:rPr>
          <w:rFonts w:ascii="Palatino Linotype" w:hAnsi="Palatino Linotype"/>
          <w:sz w:val="20"/>
          <w:szCs w:val="20"/>
        </w:rPr>
        <w:t xml:space="preserve"> example, arguing that, given his criteria for what counts as a belief “bigoted mental states” would fail to qualify as beliefs.</w:t>
      </w:r>
    </w:p>
  </w:footnote>
  <w:footnote w:id="16">
    <w:p w14:paraId="75D60681" w14:textId="6E7EFB09"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Both Helton (2018) and </w:t>
      </w:r>
      <w:proofErr w:type="spellStart"/>
      <w:r w:rsidRPr="00A00299">
        <w:rPr>
          <w:rFonts w:ascii="Palatino Linotype" w:hAnsi="Palatino Linotype"/>
          <w:sz w:val="20"/>
          <w:szCs w:val="20"/>
        </w:rPr>
        <w:t>Ganapini</w:t>
      </w:r>
      <w:proofErr w:type="spellEnd"/>
      <w:r w:rsidRPr="00A00299">
        <w:rPr>
          <w:rFonts w:ascii="Palatino Linotype" w:hAnsi="Palatino Linotype"/>
          <w:sz w:val="20"/>
          <w:szCs w:val="20"/>
        </w:rPr>
        <w:t xml:space="preserve"> (2019) accept that the standard revisability or rationality condition is too strong because it risks only including rational beliefs as beliefs.  </w:t>
      </w:r>
      <w:proofErr w:type="spellStart"/>
      <w:r w:rsidRPr="00A00299">
        <w:rPr>
          <w:rFonts w:ascii="Palatino Linotype" w:hAnsi="Palatino Linotype"/>
          <w:sz w:val="20"/>
          <w:szCs w:val="20"/>
        </w:rPr>
        <w:t>Ganapini</w:t>
      </w:r>
      <w:proofErr w:type="spellEnd"/>
      <w:r w:rsidRPr="00A00299">
        <w:rPr>
          <w:rFonts w:ascii="Palatino Linotype" w:hAnsi="Palatino Linotype"/>
          <w:sz w:val="20"/>
          <w:szCs w:val="20"/>
        </w:rPr>
        <w:t xml:space="preserve"> cites an abundance of evidence that “it has </w:t>
      </w:r>
      <w:proofErr w:type="spellStart"/>
      <w:r w:rsidRPr="00A00299">
        <w:rPr>
          <w:rFonts w:ascii="Palatino Linotype" w:hAnsi="Palatino Linotype"/>
          <w:sz w:val="20"/>
          <w:szCs w:val="20"/>
        </w:rPr>
        <w:t>become</w:t>
      </w:r>
      <w:proofErr w:type="spellEnd"/>
      <w:r w:rsidRPr="00A00299">
        <w:rPr>
          <w:rFonts w:ascii="Palatino Linotype" w:hAnsi="Palatino Linotype"/>
          <w:sz w:val="20"/>
          <w:szCs w:val="20"/>
        </w:rPr>
        <w:t xml:space="preserve"> increasingly apparent that some of our beliefs – or what we would intuitively call ‘beliefs’—are  at times behaviorally inert, immune to evidence, or inferentially encapsulated.”  </w:t>
      </w:r>
    </w:p>
  </w:footnote>
  <w:footnote w:id="17">
    <w:p w14:paraId="252C415F" w14:textId="378AAC77"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For an overview of those who think that one can mistakenly believe that they have beliefs which they do not have, and so the limits of self-reporting see </w:t>
      </w:r>
      <w:proofErr w:type="spellStart"/>
      <w:r w:rsidRPr="00A00299">
        <w:rPr>
          <w:rFonts w:ascii="Palatino Linotype" w:hAnsi="Palatino Linotype"/>
          <w:sz w:val="20"/>
          <w:szCs w:val="20"/>
        </w:rPr>
        <w:t>Ganapini</w:t>
      </w:r>
      <w:proofErr w:type="spellEnd"/>
      <w:r w:rsidRPr="00A00299">
        <w:rPr>
          <w:rFonts w:ascii="Palatino Linotype" w:hAnsi="Palatino Linotype"/>
          <w:sz w:val="20"/>
          <w:szCs w:val="20"/>
        </w:rPr>
        <w:t xml:space="preserve"> (2019).</w:t>
      </w:r>
    </w:p>
  </w:footnote>
  <w:footnote w:id="18">
    <w:p w14:paraId="7C0E5063" w14:textId="17AEE143"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For a vivid example of how evidence and experience is appealed to in defense those who believe they were abducted by aliens see Sullivan-Bissett (2020).</w:t>
      </w:r>
    </w:p>
  </w:footnote>
  <w:footnote w:id="19">
    <w:p w14:paraId="4373B01F" w14:textId="56F843FA"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Also see Levy (2017)</w:t>
      </w:r>
    </w:p>
  </w:footnote>
  <w:footnote w:id="20">
    <w:p w14:paraId="3C05D57F" w14:textId="77777777"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For an extended discussion about how, at times, the beliefs formed by a disinterested bookie can, and should, deviate from someone more partial, see </w:t>
      </w:r>
      <w:proofErr w:type="spellStart"/>
      <w:r w:rsidRPr="00A00299">
        <w:rPr>
          <w:rFonts w:ascii="Palatino Linotype" w:hAnsi="Palatino Linotype"/>
          <w:sz w:val="20"/>
          <w:szCs w:val="20"/>
        </w:rPr>
        <w:t>Maruši</w:t>
      </w:r>
      <w:r w:rsidRPr="00A00299">
        <w:rPr>
          <w:rFonts w:ascii="Palatino Linotype" w:hAnsi="Palatino Linotype" w:cs="Times New Roman"/>
          <w:sz w:val="20"/>
          <w:szCs w:val="20"/>
        </w:rPr>
        <w:t>ć</w:t>
      </w:r>
      <w:proofErr w:type="spellEnd"/>
      <w:r w:rsidRPr="00A00299">
        <w:rPr>
          <w:rFonts w:ascii="Palatino Linotype" w:hAnsi="Palatino Linotype" w:cs="Times New Roman"/>
          <w:sz w:val="20"/>
          <w:szCs w:val="20"/>
        </w:rPr>
        <w:t xml:space="preserve"> (2015).</w:t>
      </w:r>
    </w:p>
  </w:footnote>
  <w:footnote w:id="21">
    <w:p w14:paraId="618694A6" w14:textId="11F03965"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See Katherine Hawley (2014), as well as Guy Longworth (201</w:t>
      </w:r>
      <w:r>
        <w:rPr>
          <w:rFonts w:ascii="Palatino Linotype" w:hAnsi="Palatino Linotype"/>
          <w:sz w:val="20"/>
          <w:szCs w:val="20"/>
        </w:rPr>
        <w:t>7</w:t>
      </w:r>
      <w:r w:rsidRPr="00A00299">
        <w:rPr>
          <w:rFonts w:ascii="Palatino Linotype" w:hAnsi="Palatino Linotype"/>
          <w:sz w:val="20"/>
          <w:szCs w:val="20"/>
        </w:rPr>
        <w:t>). Allan Hazlett (201</w:t>
      </w:r>
      <w:r>
        <w:rPr>
          <w:rFonts w:ascii="Palatino Linotype" w:hAnsi="Palatino Linotype"/>
          <w:sz w:val="20"/>
          <w:szCs w:val="20"/>
        </w:rPr>
        <w:t>6</w:t>
      </w:r>
      <w:r w:rsidRPr="00A00299">
        <w:rPr>
          <w:rFonts w:ascii="Palatino Linotype" w:hAnsi="Palatino Linotype"/>
          <w:sz w:val="20"/>
          <w:szCs w:val="20"/>
        </w:rPr>
        <w:t xml:space="preserve">) makes a similar distinction in discussing the possibility of beliefs that manifest loyalty, and whether such intellectual loyalty can be a virtue. If one’s beliefs are such that one refuses to consider evidence to the contrary then they would not manifest any virtue, but Hazlett suggests one can believe for reasons of loyalty while still maintaining open-mindedness. </w:t>
      </w:r>
    </w:p>
  </w:footnote>
  <w:footnote w:id="22">
    <w:p w14:paraId="6C9C2FE4" w14:textId="4A99ACC6"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See, for example Hawley (2014), especially 2030-31. She largely bases her discussion on Holton (1994).</w:t>
      </w:r>
    </w:p>
  </w:footnote>
  <w:footnote w:id="23">
    <w:p w14:paraId="25D332F5" w14:textId="7467FFC7"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Crispin Wright (2004) labels the kind of attitude we have towards “hinge” or “cornerstone” propositions</w:t>
      </w:r>
      <w:r>
        <w:rPr>
          <w:rFonts w:ascii="Palatino Linotype" w:hAnsi="Palatino Linotype"/>
          <w:sz w:val="20"/>
          <w:szCs w:val="20"/>
        </w:rPr>
        <w:t xml:space="preserve"> </w:t>
      </w:r>
      <w:r w:rsidRPr="00A00299">
        <w:rPr>
          <w:rFonts w:ascii="Palatino Linotype" w:hAnsi="Palatino Linotype"/>
          <w:sz w:val="20"/>
          <w:szCs w:val="20"/>
        </w:rPr>
        <w:t>a kind of acceptance, but since it does not require evidence or is subject to the same evidential or alethic norms, he does not want to label it a belief.  He concludes that it is a kind of “rational trust,” claiming, like Longworth and others, that as long we don’t have evidence against it, its practical justification makes it rational.</w:t>
      </w:r>
    </w:p>
  </w:footnote>
  <w:footnote w:id="24">
    <w:p w14:paraId="365F6C9D" w14:textId="4C2750C9"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Paul Faulkner (2011) argues that it is often the case that we believe what people say (and are warranted in so doing) </w:t>
      </w:r>
      <w:r w:rsidRPr="00A00299">
        <w:rPr>
          <w:rFonts w:ascii="Palatino Linotype" w:hAnsi="Palatino Linotype"/>
          <w:i/>
          <w:sz w:val="20"/>
          <w:szCs w:val="20"/>
        </w:rPr>
        <w:t>because</w:t>
      </w:r>
      <w:r w:rsidRPr="00A00299">
        <w:rPr>
          <w:rFonts w:ascii="Palatino Linotype" w:hAnsi="Palatino Linotype"/>
          <w:sz w:val="20"/>
          <w:szCs w:val="20"/>
        </w:rPr>
        <w:t xml:space="preserve"> we trust them and that this kind of trust is often not based on the evidence which would allow us to predict that one would tell the truth. Faulkner distinguishes this kind of “predictive” trust (which seems to map on to what I have called mere reliance) from “affective” trust which is based on what we normatively expect of one another and allows for the appropriateness of reactive attitudes such as resentment and disappointment.  Allan Hazlett (2017)  argues that not believing others wrongs them.</w:t>
      </w:r>
    </w:p>
  </w:footnote>
  <w:footnote w:id="25">
    <w:p w14:paraId="0301A017" w14:textId="77777777"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w:t>
      </w:r>
      <w:proofErr w:type="spellStart"/>
      <w:r w:rsidRPr="00A00299">
        <w:rPr>
          <w:rFonts w:ascii="Palatino Linotype" w:hAnsi="Palatino Linotype"/>
          <w:sz w:val="20"/>
          <w:szCs w:val="20"/>
        </w:rPr>
        <w:t>Berislav</w:t>
      </w:r>
      <w:proofErr w:type="spellEnd"/>
      <w:r w:rsidRPr="00A00299">
        <w:rPr>
          <w:rFonts w:ascii="Palatino Linotype" w:hAnsi="Palatino Linotype"/>
          <w:sz w:val="20"/>
          <w:szCs w:val="20"/>
        </w:rPr>
        <w:t xml:space="preserve"> </w:t>
      </w:r>
      <w:proofErr w:type="spellStart"/>
      <w:r w:rsidRPr="00A00299">
        <w:rPr>
          <w:rFonts w:ascii="Palatino Linotype" w:hAnsi="Palatino Linotype"/>
          <w:sz w:val="20"/>
          <w:szCs w:val="20"/>
        </w:rPr>
        <w:t>Maruši</w:t>
      </w:r>
      <w:r w:rsidRPr="00A00299">
        <w:rPr>
          <w:rFonts w:ascii="Palatino Linotype" w:hAnsi="Palatino Linotype" w:cs="Times New Roman"/>
          <w:sz w:val="20"/>
          <w:szCs w:val="20"/>
        </w:rPr>
        <w:t>ć</w:t>
      </w:r>
      <w:proofErr w:type="spellEnd"/>
      <w:r w:rsidRPr="00A00299">
        <w:rPr>
          <w:rFonts w:ascii="Palatino Linotype" w:hAnsi="Palatino Linotype"/>
          <w:sz w:val="20"/>
          <w:szCs w:val="20"/>
        </w:rPr>
        <w:t xml:space="preserve"> (2015, chapter 7) argues that we should see trust as a kind of belief, but that “trusting belief” is different from evidential belief because the reasons for trusting are different in the case of trust. </w:t>
      </w:r>
    </w:p>
  </w:footnote>
  <w:footnote w:id="26">
    <w:p w14:paraId="1CA22448" w14:textId="6AAC291E" w:rsidR="0091670A" w:rsidRDefault="0091670A">
      <w:pPr>
        <w:pStyle w:val="FootnoteText"/>
      </w:pPr>
      <w:r>
        <w:rPr>
          <w:rStyle w:val="FootnoteReference"/>
        </w:rPr>
        <w:footnoteRef/>
      </w:r>
      <w:r>
        <w:t xml:space="preserve"> </w:t>
      </w:r>
      <w:r w:rsidRPr="007F6816">
        <w:rPr>
          <w:rFonts w:ascii="Palatino Linotype" w:hAnsi="Palatino Linotype"/>
          <w:sz w:val="20"/>
          <w:szCs w:val="20"/>
        </w:rPr>
        <w:t xml:space="preserve">This story about the boatman and the fog is one that Ram </w:t>
      </w:r>
      <w:proofErr w:type="spellStart"/>
      <w:r w:rsidRPr="007F6816">
        <w:rPr>
          <w:rFonts w:ascii="Palatino Linotype" w:hAnsi="Palatino Linotype"/>
          <w:sz w:val="20"/>
          <w:szCs w:val="20"/>
        </w:rPr>
        <w:t>Dass</w:t>
      </w:r>
      <w:proofErr w:type="spellEnd"/>
      <w:r w:rsidRPr="007F6816">
        <w:rPr>
          <w:rFonts w:ascii="Palatino Linotype" w:hAnsi="Palatino Linotype"/>
          <w:sz w:val="20"/>
          <w:szCs w:val="20"/>
        </w:rPr>
        <w:t xml:space="preserve"> frequently tells</w:t>
      </w:r>
      <w:r>
        <w:t>.</w:t>
      </w:r>
    </w:p>
  </w:footnote>
  <w:footnote w:id="27">
    <w:p w14:paraId="219BDD71" w14:textId="55454B05"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See </w:t>
      </w:r>
      <w:proofErr w:type="spellStart"/>
      <w:r w:rsidRPr="00A00299">
        <w:rPr>
          <w:rFonts w:ascii="Palatino Linotype" w:hAnsi="Palatino Linotype"/>
          <w:sz w:val="20"/>
          <w:szCs w:val="20"/>
        </w:rPr>
        <w:t>Tappolet</w:t>
      </w:r>
      <w:proofErr w:type="spellEnd"/>
      <w:r w:rsidRPr="00A00299">
        <w:rPr>
          <w:rFonts w:ascii="Palatino Linotype" w:hAnsi="Palatino Linotype"/>
          <w:sz w:val="20"/>
          <w:szCs w:val="20"/>
        </w:rPr>
        <w:t xml:space="preserve"> (2016, 37-38) for a discussion of the plasticity of our emotional systems which allows us to influence our emotional dispositions. </w:t>
      </w:r>
    </w:p>
  </w:footnote>
  <w:footnote w:id="28">
    <w:p w14:paraId="70674887" w14:textId="77777777"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We sometimes even talk about having “faith” in someone to mean we trust him. Longworth’s discussion of trust alluded to above builds on Kant’s account of “moral faith.”  </w:t>
      </w:r>
    </w:p>
  </w:footnote>
  <w:footnote w:id="29">
    <w:p w14:paraId="45564966" w14:textId="388FE30C"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It is possible that belief in some philosophical theories would count as “religious” in this wide sense. David </w:t>
      </w:r>
      <w:proofErr w:type="spellStart"/>
      <w:r w:rsidRPr="00A00299">
        <w:rPr>
          <w:rFonts w:ascii="Palatino Linotype" w:hAnsi="Palatino Linotype"/>
          <w:sz w:val="20"/>
          <w:szCs w:val="20"/>
        </w:rPr>
        <w:t>Kiloren</w:t>
      </w:r>
      <w:proofErr w:type="spellEnd"/>
      <w:r w:rsidRPr="00A00299">
        <w:rPr>
          <w:rFonts w:ascii="Palatino Linotype" w:hAnsi="Palatino Linotype"/>
          <w:sz w:val="20"/>
          <w:szCs w:val="20"/>
        </w:rPr>
        <w:t xml:space="preserve"> (2015) has argued that robust moral realism should be viewed as religion, but he thinks this is not a reason to reject it, and that it more defensible than most other religions.</w:t>
      </w:r>
    </w:p>
  </w:footnote>
  <w:footnote w:id="30">
    <w:p w14:paraId="1A4A9D42" w14:textId="62B27A0B" w:rsidR="0091670A" w:rsidRPr="00A00299" w:rsidRDefault="0091670A" w:rsidP="00A00299">
      <w:pPr>
        <w:widowControl w:val="0"/>
        <w:autoSpaceDE w:val="0"/>
        <w:autoSpaceDN w:val="0"/>
        <w:adjustRightInd w:val="0"/>
        <w:rPr>
          <w:rFonts w:ascii="Palatino Linotype" w:hAnsi="Palatino Linotype" w:cs="Times New Roman"/>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While some, most notably, the “Reformed epistemologists” (Plantinga, </w:t>
      </w:r>
      <w:proofErr w:type="spellStart"/>
      <w:r w:rsidRPr="00A00299">
        <w:rPr>
          <w:rFonts w:ascii="Palatino Linotype" w:hAnsi="Palatino Linotype"/>
          <w:sz w:val="20"/>
          <w:szCs w:val="20"/>
        </w:rPr>
        <w:t>Wolterstorff</w:t>
      </w:r>
      <w:proofErr w:type="spellEnd"/>
      <w:r w:rsidRPr="00A00299">
        <w:rPr>
          <w:rFonts w:ascii="Palatino Linotype" w:hAnsi="Palatino Linotype"/>
          <w:sz w:val="20"/>
          <w:szCs w:val="20"/>
        </w:rPr>
        <w:t>, 1983) have defended the rationality of religious beliefs despite their failing to be based on evidence, others have suggested that faith be thought of as quite different from belief and so should not be evaluated in the same way; having faith that something is the case, it is argued, can be rational even if belief is not. This is, for example, Robert Audi’s position. Audi (1991, 2008) argues that there is a kind of propositional faith that does not entail belief which he calls “fiducial faith.” His two main reasons for distinguishing between these states are first, that faith includes a positive attitudinal element that belief need not, and second, that faith is compatible with a higher degree of doubt than is belief.  This attitude is not simply a cognitive or intellectual state which is what a belief is, according to Audi who accepts the cognitive conception. For similar reasons, William Alston (1996) thinks many attitudes of religious faith should be classified as “acceptances” rather than “beliefs.” Neil Van Leeuwen (2014) has argued for a similar conclusion, that we should view the attitudes of factual belief and religious credence as different cognitive attitudes and, again this is because “</w:t>
      </w:r>
      <w:r w:rsidRPr="00A00299">
        <w:rPr>
          <w:rFonts w:ascii="Palatino Linotype" w:hAnsi="Palatino Linotype" w:cs="Times New Roman"/>
          <w:sz w:val="20"/>
          <w:szCs w:val="20"/>
        </w:rPr>
        <w:t>religious cognitive attitudes lack the defining characteristics of factual beliefs (2).”  One such defining characteristic is that they are evidentially vulnerable</w:t>
      </w:r>
      <w:r>
        <w:rPr>
          <w:rFonts w:ascii="Palatino Linotype" w:hAnsi="Palatino Linotype" w:cs="Times New Roman"/>
          <w:sz w:val="20"/>
          <w:szCs w:val="20"/>
        </w:rPr>
        <w:t>, and another is that they don’t have relationship with action that one finds with “factual beliefs.”</w:t>
      </w:r>
    </w:p>
    <w:p w14:paraId="3B7FA03A" w14:textId="040D7E67" w:rsidR="0091670A" w:rsidRPr="00A00299" w:rsidRDefault="0091670A" w:rsidP="00A00299">
      <w:pPr>
        <w:pStyle w:val="FootnoteText"/>
        <w:rPr>
          <w:rFonts w:ascii="Palatino Linotype" w:hAnsi="Palatino Linotype"/>
          <w:sz w:val="20"/>
          <w:szCs w:val="20"/>
        </w:rPr>
      </w:pPr>
      <w:r w:rsidRPr="00A00299">
        <w:rPr>
          <w:rFonts w:ascii="Palatino Linotype" w:hAnsi="Palatino Linotype"/>
          <w:sz w:val="20"/>
          <w:szCs w:val="20"/>
        </w:rPr>
        <w:t xml:space="preserve">As in the cases of trust discussed above (and for Audi these attitudes are very similar) one of the main motivations for carving out a category of non-doxastic propositional faith is to have a way of maintaining its rationality. Holding a belief when one’s evidence is inconclusive is deemed by many to be irrational or impermissible and so to make room for faith or trust being rational or permissible, it is suggested that these attitudes are not beliefs. The other option, which I am urging, is that we see these examples as exposing that belief is not purely intellectual or cognitive.  </w:t>
      </w:r>
    </w:p>
  </w:footnote>
  <w:footnote w:id="31">
    <w:p w14:paraId="2A32B434" w14:textId="1BDE1241" w:rsidR="0091670A" w:rsidRPr="002331B4" w:rsidRDefault="0091670A" w:rsidP="00A00299">
      <w:pPr>
        <w:pStyle w:val="FootnoteText"/>
        <w:rPr>
          <w:rFonts w:ascii="Garamond" w:hAnsi="Garamond"/>
          <w:sz w:val="22"/>
          <w:szCs w:val="22"/>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The latter proposition is the one specified by A</w:t>
      </w:r>
      <w:r>
        <w:rPr>
          <w:rFonts w:ascii="Garamond" w:hAnsi="Garamond"/>
          <w:sz w:val="22"/>
          <w:szCs w:val="22"/>
        </w:rPr>
        <w:t>lvin Plantinga when defending the rationality of religious belief. Elsewhere, I critique his arguments and discuss further how one can distinguish between the permissibility of different religious beliefs.</w:t>
      </w:r>
    </w:p>
  </w:footnote>
  <w:footnote w:id="32">
    <w:p w14:paraId="3E2422B4" w14:textId="09A196D5"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See Jonathan Adler (2002)’s discussion, especially pp. 26-32.</w:t>
      </w:r>
    </w:p>
  </w:footnote>
  <w:footnote w:id="33">
    <w:p w14:paraId="1B05A41E" w14:textId="64A99F9C" w:rsidR="0091670A" w:rsidRPr="00A00299" w:rsidRDefault="0091670A" w:rsidP="00A00299">
      <w:pPr>
        <w:pStyle w:val="FootnoteText"/>
        <w:rPr>
          <w:rFonts w:ascii="Palatino Linotype" w:hAnsi="Palatino Linotype"/>
          <w:sz w:val="20"/>
          <w:szCs w:val="20"/>
        </w:rPr>
      </w:pPr>
      <w:r w:rsidRPr="00A00299">
        <w:rPr>
          <w:rStyle w:val="FootnoteReference"/>
          <w:rFonts w:ascii="Palatino Linotype" w:hAnsi="Palatino Linotype"/>
          <w:sz w:val="20"/>
          <w:szCs w:val="20"/>
        </w:rPr>
        <w:footnoteRef/>
      </w:r>
      <w:r w:rsidRPr="00A00299">
        <w:rPr>
          <w:rFonts w:ascii="Palatino Linotype" w:hAnsi="Palatino Linotype"/>
          <w:sz w:val="20"/>
          <w:szCs w:val="20"/>
        </w:rPr>
        <w:t xml:space="preserve"> See (deleted for blind review). Huddleston (2014) makes an even stronger claim, namely that one can believe something one knows is false. This does not seem possible. If you believe something that can be stated in the form of the proposition, then you take it to be true. You can recognize that it </w:t>
      </w:r>
      <w:r>
        <w:rPr>
          <w:rFonts w:ascii="Palatino Linotype" w:hAnsi="Palatino Linotype"/>
          <w:sz w:val="20"/>
          <w:szCs w:val="20"/>
        </w:rPr>
        <w:t>is</w:t>
      </w:r>
      <w:r w:rsidRPr="00A00299">
        <w:rPr>
          <w:rFonts w:ascii="Palatino Linotype" w:hAnsi="Palatino Linotype"/>
          <w:sz w:val="20"/>
          <w:szCs w:val="20"/>
        </w:rPr>
        <w:t xml:space="preserve"> possible it is false but you cannot </w:t>
      </w:r>
      <w:r w:rsidRPr="00A00299">
        <w:rPr>
          <w:rFonts w:ascii="Palatino Linotype" w:hAnsi="Palatino Linotype"/>
          <w:i/>
          <w:iCs/>
          <w:sz w:val="20"/>
          <w:szCs w:val="20"/>
        </w:rPr>
        <w:t xml:space="preserve">know </w:t>
      </w:r>
      <w:r w:rsidRPr="00A00299">
        <w:rPr>
          <w:rFonts w:ascii="Palatino Linotype" w:hAnsi="Palatino Linotype"/>
          <w:sz w:val="20"/>
          <w:szCs w:val="20"/>
        </w:rPr>
        <w:t>that it is false.</w:t>
      </w:r>
    </w:p>
  </w:footnote>
  <w:footnote w:id="34">
    <w:p w14:paraId="0FA6C3DA" w14:textId="745513C6" w:rsidR="0091670A" w:rsidRPr="00ED263E" w:rsidRDefault="0091670A" w:rsidP="00ED263E">
      <w:pPr>
        <w:pStyle w:val="FootnoteText"/>
        <w:rPr>
          <w:rFonts w:ascii="Palatino Linotype" w:hAnsi="Palatino Linotype"/>
          <w:sz w:val="20"/>
          <w:szCs w:val="20"/>
        </w:rPr>
      </w:pPr>
      <w:r>
        <w:rPr>
          <w:rStyle w:val="FootnoteReference"/>
        </w:rPr>
        <w:footnoteRef/>
      </w:r>
      <w:r>
        <w:t xml:space="preserve"> </w:t>
      </w:r>
      <w:r w:rsidRPr="00ED263E">
        <w:rPr>
          <w:rFonts w:ascii="Palatino Linotype" w:hAnsi="Palatino Linotype"/>
          <w:sz w:val="20"/>
          <w:szCs w:val="20"/>
        </w:rPr>
        <w:t>https://en.wikipedia.org/wiki/Monty_Hall_problem</w:t>
      </w:r>
    </w:p>
  </w:footnote>
  <w:footnote w:id="35">
    <w:p w14:paraId="51A58975" w14:textId="2E842330" w:rsidR="0091670A" w:rsidRPr="00ED263E" w:rsidRDefault="0091670A" w:rsidP="00ED263E">
      <w:pPr>
        <w:pStyle w:val="FootnoteText"/>
        <w:rPr>
          <w:rFonts w:ascii="Palatino Linotype" w:hAnsi="Palatino Linotype"/>
          <w:sz w:val="20"/>
          <w:szCs w:val="20"/>
        </w:rPr>
      </w:pPr>
      <w:r w:rsidRPr="00ED263E">
        <w:rPr>
          <w:rStyle w:val="FootnoteReference"/>
          <w:rFonts w:ascii="Palatino Linotype" w:hAnsi="Palatino Linotype"/>
          <w:sz w:val="20"/>
          <w:szCs w:val="20"/>
        </w:rPr>
        <w:footnoteRef/>
      </w:r>
      <w:r w:rsidRPr="00ED263E">
        <w:rPr>
          <w:rFonts w:ascii="Palatino Linotype" w:hAnsi="Palatino Linotype"/>
          <w:sz w:val="20"/>
          <w:szCs w:val="20"/>
        </w:rPr>
        <w:t xml:space="preserve"> The widely discussed phenomenon of “motivated belief” or “motivationally biased belief” points out how emotions can lead one to believe in certain ways, for example, by leading one to attend to certain evidence and not others. This is the prevalent way of understanding self-deception. See, for example Mele (2000). On such a view belief can be infected by emotions in certain ways that will lead away from rationality. On my view a belief-state is an emotion and so to evaluate the appropriateness of belief we have to think, not only about whether the evidence supports the truth of the proposition believed, but also about the more complex question of whether the affective endorsement allows the belief to serve the more complex role that beliefs seem to fulfill over and above representing truth, the role of navigation, coherence and agential flourishing.</w:t>
      </w:r>
    </w:p>
  </w:footnote>
  <w:footnote w:id="36">
    <w:p w14:paraId="6343400D" w14:textId="4D90F52F" w:rsidR="0091670A" w:rsidRPr="00ED263E" w:rsidRDefault="0091670A" w:rsidP="00ED263E">
      <w:pPr>
        <w:pStyle w:val="FootnoteText"/>
        <w:rPr>
          <w:rFonts w:ascii="Palatino Linotype" w:hAnsi="Palatino Linotype"/>
          <w:sz w:val="20"/>
          <w:szCs w:val="20"/>
        </w:rPr>
      </w:pPr>
      <w:r w:rsidRPr="00ED263E">
        <w:rPr>
          <w:rStyle w:val="FootnoteReference"/>
          <w:rFonts w:ascii="Palatino Linotype" w:hAnsi="Palatino Linotype"/>
          <w:sz w:val="20"/>
          <w:szCs w:val="20"/>
        </w:rPr>
        <w:footnoteRef/>
      </w:r>
      <w:r w:rsidRPr="00ED263E">
        <w:rPr>
          <w:rFonts w:ascii="Palatino Linotype" w:hAnsi="Palatino Linotype"/>
          <w:sz w:val="20"/>
          <w:szCs w:val="20"/>
        </w:rPr>
        <w:t xml:space="preserve"> This claim should be somewhat qualified. If artificial intelligence reaches a point where emotions are attributable to such “machines,” then beliefs will be as well.</w:t>
      </w:r>
    </w:p>
  </w:footnote>
  <w:footnote w:id="37">
    <w:p w14:paraId="3B50B628" w14:textId="4A038E05" w:rsidR="0091670A" w:rsidRPr="00ED263E" w:rsidRDefault="0091670A" w:rsidP="00ED263E">
      <w:pPr>
        <w:widowControl w:val="0"/>
        <w:autoSpaceDE w:val="0"/>
        <w:autoSpaceDN w:val="0"/>
        <w:adjustRightInd w:val="0"/>
        <w:rPr>
          <w:rFonts w:ascii="Palatino Linotype" w:hAnsi="Palatino Linotype" w:cs="Times New Roman"/>
          <w:sz w:val="20"/>
          <w:szCs w:val="20"/>
        </w:rPr>
      </w:pPr>
      <w:r w:rsidRPr="00ED263E">
        <w:rPr>
          <w:rStyle w:val="FootnoteReference"/>
          <w:rFonts w:ascii="Palatino Linotype" w:hAnsi="Palatino Linotype"/>
          <w:sz w:val="20"/>
          <w:szCs w:val="20"/>
        </w:rPr>
        <w:footnoteRef/>
      </w:r>
      <w:r w:rsidRPr="00ED263E">
        <w:rPr>
          <w:rFonts w:ascii="Palatino Linotype" w:hAnsi="Palatino Linotype"/>
          <w:sz w:val="20"/>
          <w:szCs w:val="20"/>
        </w:rPr>
        <w:t xml:space="preserve"> J. Adam Carter (</w:t>
      </w:r>
      <w:r>
        <w:rPr>
          <w:rFonts w:ascii="Palatino Linotype" w:hAnsi="Palatino Linotype"/>
          <w:sz w:val="20"/>
          <w:szCs w:val="20"/>
        </w:rPr>
        <w:t>2018</w:t>
      </w:r>
      <w:r w:rsidRPr="00ED263E">
        <w:rPr>
          <w:rFonts w:ascii="Palatino Linotype" w:hAnsi="Palatino Linotype"/>
          <w:sz w:val="20"/>
          <w:szCs w:val="20"/>
        </w:rPr>
        <w:t xml:space="preserve">) offers an illuminating discussion of this view as well as a (qualified) defense of it.   </w:t>
      </w:r>
    </w:p>
  </w:footnote>
  <w:footnote w:id="38">
    <w:p w14:paraId="28534F45" w14:textId="2EF289E4" w:rsidR="0091670A" w:rsidRPr="009E2AD9" w:rsidRDefault="0091670A" w:rsidP="009E2AD9">
      <w:pPr>
        <w:rPr>
          <w:rFonts w:ascii="Palatino Linotype" w:eastAsia="Times New Roman" w:hAnsi="Palatino Linotype" w:cs="Times New Roman"/>
        </w:rPr>
      </w:pPr>
      <w:r w:rsidRPr="00ED263E">
        <w:rPr>
          <w:rStyle w:val="FootnoteReference"/>
          <w:rFonts w:ascii="Palatino Linotype" w:hAnsi="Palatino Linotype"/>
          <w:sz w:val="20"/>
          <w:szCs w:val="20"/>
        </w:rPr>
        <w:footnoteRef/>
      </w:r>
      <w:r w:rsidRPr="00ED263E">
        <w:rPr>
          <w:rFonts w:ascii="Palatino Linotype" w:hAnsi="Palatino Linotype"/>
          <w:sz w:val="20"/>
          <w:szCs w:val="20"/>
        </w:rPr>
        <w:t xml:space="preserve"> </w:t>
      </w:r>
      <w:r w:rsidRPr="00ED263E">
        <w:rPr>
          <w:rFonts w:ascii="Palatino Linotype" w:eastAsia="Times New Roman" w:hAnsi="Palatino Linotype" w:cs="Arial"/>
          <w:color w:val="1A1A1A"/>
          <w:sz w:val="20"/>
          <w:szCs w:val="20"/>
          <w:lang w:eastAsia="en-US"/>
        </w:rPr>
        <w:t xml:space="preserve"> For an overview of some of these studies, see </w:t>
      </w:r>
      <w:hyperlink r:id="rId2" w:history="1">
        <w:r w:rsidRPr="00ED263E">
          <w:rPr>
            <w:rStyle w:val="Hyperlink"/>
            <w:rFonts w:ascii="Palatino Linotype" w:hAnsi="Palatino Linotype"/>
            <w:sz w:val="20"/>
            <w:szCs w:val="20"/>
          </w:rPr>
          <w:t>http://www.newyorker.com/science/maria-konnikova/i-dont-want-to-be-right</w:t>
        </w:r>
      </w:hyperlink>
      <w:r w:rsidRPr="00ED263E">
        <w:rPr>
          <w:rFonts w:ascii="Palatino Linotype" w:hAnsi="Palatino Linotype"/>
          <w:sz w:val="20"/>
          <w:szCs w:val="20"/>
        </w:rPr>
        <w:t xml:space="preserve">. This article primarily discusses Brendan </w:t>
      </w:r>
      <w:proofErr w:type="spellStart"/>
      <w:r w:rsidRPr="00ED263E">
        <w:rPr>
          <w:rFonts w:ascii="Palatino Linotype" w:hAnsi="Palatino Linotype"/>
          <w:sz w:val="20"/>
          <w:szCs w:val="20"/>
        </w:rPr>
        <w:t>Ny</w:t>
      </w:r>
      <w:r>
        <w:rPr>
          <w:rFonts w:ascii="Palatino Linotype" w:hAnsi="Palatino Linotype"/>
          <w:sz w:val="20"/>
          <w:szCs w:val="20"/>
        </w:rPr>
        <w:t>h</w:t>
      </w:r>
      <w:r w:rsidRPr="00ED263E">
        <w:rPr>
          <w:rFonts w:ascii="Palatino Linotype" w:hAnsi="Palatino Linotype"/>
          <w:sz w:val="20"/>
          <w:szCs w:val="20"/>
        </w:rPr>
        <w:t>an’s</w:t>
      </w:r>
      <w:proofErr w:type="spellEnd"/>
      <w:r w:rsidRPr="00ED263E">
        <w:rPr>
          <w:rFonts w:ascii="Palatino Linotype" w:hAnsi="Palatino Linotype"/>
          <w:sz w:val="20"/>
          <w:szCs w:val="20"/>
        </w:rPr>
        <w:t xml:space="preserve"> work on changing people’s minds about the safety of vaccines.</w:t>
      </w:r>
      <w:r>
        <w:rPr>
          <w:rFonts w:ascii="Palatino Linotype" w:hAnsi="Palatino Linotype"/>
          <w:sz w:val="20"/>
          <w:szCs w:val="20"/>
        </w:rPr>
        <w:t xml:space="preserve"> It</w:t>
      </w:r>
      <w:r w:rsidRPr="00ED263E">
        <w:rPr>
          <w:rFonts w:ascii="Palatino Linotype" w:hAnsi="Palatino Linotype"/>
          <w:sz w:val="20"/>
          <w:szCs w:val="20"/>
        </w:rPr>
        <w:t xml:space="preserve"> concludes </w:t>
      </w:r>
      <w:r>
        <w:rPr>
          <w:rFonts w:ascii="Palatino Linotype" w:hAnsi="Palatino Linotype"/>
          <w:sz w:val="20"/>
          <w:szCs w:val="20"/>
        </w:rPr>
        <w:t xml:space="preserve">by quoting him as being optimistic about the vaccine issue: “ Vaccines, fortunately, aren’t political. </w:t>
      </w:r>
      <w:r>
        <w:rPr>
          <w:rFonts w:ascii="Palatino Linotype" w:eastAsia="Times New Roman" w:hAnsi="Palatino Linotype" w:cs="Times New Roman"/>
          <w:color w:val="000000"/>
          <w:sz w:val="20"/>
          <w:szCs w:val="20"/>
          <w:shd w:val="clear" w:color="auto" w:fill="FFFFFF"/>
        </w:rPr>
        <w:t>‘</w:t>
      </w:r>
      <w:r w:rsidRPr="009E2AD9">
        <w:rPr>
          <w:rFonts w:ascii="Palatino Linotype" w:eastAsia="Times New Roman" w:hAnsi="Palatino Linotype" w:cs="Times New Roman"/>
          <w:color w:val="000000"/>
          <w:sz w:val="20"/>
          <w:szCs w:val="20"/>
          <w:shd w:val="clear" w:color="auto" w:fill="FFFFFF"/>
        </w:rPr>
        <w:t xml:space="preserve">They’re not inherently linked to ideology,” </w:t>
      </w:r>
      <w:proofErr w:type="spellStart"/>
      <w:r w:rsidRPr="009E2AD9">
        <w:rPr>
          <w:rFonts w:ascii="Palatino Linotype" w:eastAsia="Times New Roman" w:hAnsi="Palatino Linotype" w:cs="Times New Roman"/>
          <w:color w:val="000000"/>
          <w:sz w:val="20"/>
          <w:szCs w:val="20"/>
          <w:shd w:val="clear" w:color="auto" w:fill="FFFFFF"/>
        </w:rPr>
        <w:t>Nyhan</w:t>
      </w:r>
      <w:proofErr w:type="spellEnd"/>
      <w:r w:rsidRPr="009E2AD9">
        <w:rPr>
          <w:rFonts w:ascii="Palatino Linotype" w:eastAsia="Times New Roman" w:hAnsi="Palatino Linotype" w:cs="Times New Roman"/>
          <w:color w:val="000000"/>
          <w:sz w:val="20"/>
          <w:szCs w:val="20"/>
          <w:shd w:val="clear" w:color="auto" w:fill="FFFFFF"/>
        </w:rPr>
        <w:t xml:space="preserve"> said. </w:t>
      </w:r>
      <w:r>
        <w:rPr>
          <w:rFonts w:ascii="Palatino Linotype" w:eastAsia="Times New Roman" w:hAnsi="Palatino Linotype" w:cs="Times New Roman"/>
          <w:color w:val="000000"/>
          <w:sz w:val="20"/>
          <w:szCs w:val="20"/>
          <w:shd w:val="clear" w:color="auto" w:fill="FFFFFF"/>
        </w:rPr>
        <w:t>‘</w:t>
      </w:r>
      <w:r w:rsidRPr="009E2AD9">
        <w:rPr>
          <w:rFonts w:ascii="Palatino Linotype" w:eastAsia="Times New Roman" w:hAnsi="Palatino Linotype" w:cs="Times New Roman"/>
          <w:color w:val="000000"/>
          <w:sz w:val="20"/>
          <w:szCs w:val="20"/>
          <w:shd w:val="clear" w:color="auto" w:fill="FFFFFF"/>
        </w:rPr>
        <w:t>And that’s good. That means we can get to a consensus</w:t>
      </w:r>
      <w:r>
        <w:rPr>
          <w:rFonts w:ascii="Palatino Linotype" w:eastAsia="Times New Roman" w:hAnsi="Palatino Linotype" w:cs="Times New Roman"/>
          <w:color w:val="000000"/>
          <w:sz w:val="20"/>
          <w:szCs w:val="20"/>
          <w:shd w:val="clear" w:color="auto" w:fill="FFFFFF"/>
        </w:rPr>
        <w:t>’</w:t>
      </w:r>
      <w:r w:rsidRPr="009E2AD9">
        <w:rPr>
          <w:rFonts w:ascii="Palatino Linotype" w:eastAsia="Times New Roman" w:hAnsi="Palatino Linotype" w:cs="Times New Roman"/>
          <w:color w:val="000000"/>
          <w:sz w:val="20"/>
          <w:szCs w:val="20"/>
          <w:shd w:val="clear" w:color="auto" w:fill="FFFFFF"/>
        </w:rPr>
        <w:t xml:space="preserve"> Ignoring vaccination, after all, can make people of every political party, and every religion, just as sick</w:t>
      </w:r>
      <w:r>
        <w:rPr>
          <w:rFonts w:ascii="Palatino Linotype" w:eastAsia="Times New Roman" w:hAnsi="Palatino Linotype" w:cs="Times New Roman"/>
          <w:color w:val="000000"/>
          <w:sz w:val="20"/>
          <w:szCs w:val="20"/>
          <w:shd w:val="clear" w:color="auto" w:fill="FFFFFF"/>
        </w:rPr>
        <w:t xml:space="preserve">.” </w:t>
      </w:r>
      <w:r>
        <w:rPr>
          <w:rFonts w:ascii="Palatino Linotype" w:eastAsia="Times New Roman" w:hAnsi="Palatino Linotype" w:cs="Times New Roman"/>
        </w:rPr>
        <w:t xml:space="preserve"> </w:t>
      </w:r>
      <w:r w:rsidRPr="00ED263E">
        <w:rPr>
          <w:rFonts w:ascii="Palatino Linotype" w:hAnsi="Palatino Linotype"/>
          <w:sz w:val="20"/>
          <w:szCs w:val="20"/>
        </w:rPr>
        <w:t xml:space="preserve">Six years </w:t>
      </w:r>
      <w:r>
        <w:rPr>
          <w:rFonts w:ascii="Palatino Linotype" w:hAnsi="Palatino Linotype"/>
          <w:sz w:val="20"/>
          <w:szCs w:val="20"/>
        </w:rPr>
        <w:t>after this article was written, we are seeing that beliefs about vaccines and diseases can become political, and his optimism may have been misplaced.</w:t>
      </w:r>
      <w:r w:rsidRPr="00ED263E">
        <w:rPr>
          <w:rFonts w:ascii="Palatino Linotype" w:hAnsi="Palatino Linotype"/>
          <w:sz w:val="20"/>
          <w:szCs w:val="20"/>
        </w:rPr>
        <w:t xml:space="preserve">  </w:t>
      </w:r>
      <w:r>
        <w:rPr>
          <w:rFonts w:ascii="Palatino Linotype" w:hAnsi="Palatino Linotype"/>
          <w:sz w:val="20"/>
          <w:szCs w:val="20"/>
        </w:rPr>
        <w:t>A recent article (on which Nyan is a co-author) shows how difficult it can be to correct people’s beliefs about epidemics, and how dangerous misperceptions can be. See Carey, et al (2020).</w:t>
      </w:r>
    </w:p>
    <w:p w14:paraId="4CD35510" w14:textId="77777777" w:rsidR="0091670A" w:rsidRPr="00F6681C" w:rsidRDefault="0091670A" w:rsidP="00E4034D">
      <w:pPr>
        <w:spacing w:line="480" w:lineRule="auto"/>
        <w:ind w:left="-90"/>
        <w:rPr>
          <w:rFonts w:ascii="Garamond" w:hAnsi="Garamond" w:cs="Times New Roman"/>
        </w:rPr>
      </w:pPr>
    </w:p>
    <w:p w14:paraId="71B399B7" w14:textId="4E2CD0CE" w:rsidR="0091670A" w:rsidRPr="00740C37" w:rsidRDefault="0091670A" w:rsidP="00E4034D">
      <w:pPr>
        <w:spacing w:line="480" w:lineRule="auto"/>
        <w:rPr>
          <w:rFonts w:ascii="Garamond" w:eastAsia="Times New Roman" w:hAnsi="Garamond" w:cs="Times New Roman"/>
          <w:color w:val="222222"/>
          <w:sz w:val="22"/>
          <w:szCs w:val="22"/>
          <w:lang w:eastAsia="en-US"/>
        </w:rPr>
      </w:pPr>
    </w:p>
    <w:p w14:paraId="2FC33912" w14:textId="544838B0" w:rsidR="0091670A" w:rsidRPr="00740C37" w:rsidRDefault="0091670A" w:rsidP="00E4034D">
      <w:pPr>
        <w:spacing w:line="480" w:lineRule="auto"/>
        <w:rPr>
          <w:rFonts w:ascii="Garamond" w:eastAsia="Times New Roman" w:hAnsi="Garamond" w:cs="Times New Roman"/>
          <w:sz w:val="22"/>
          <w:szCs w:val="22"/>
          <w:lang w:eastAsia="en-US"/>
        </w:rPr>
      </w:pPr>
    </w:p>
    <w:p w14:paraId="18384075" w14:textId="3C9C6664" w:rsidR="0091670A" w:rsidRPr="00740C37" w:rsidRDefault="0091670A" w:rsidP="00E4034D">
      <w:pPr>
        <w:pStyle w:val="FootnoteText"/>
        <w:spacing w:line="480" w:lineRule="auto"/>
        <w:rPr>
          <w:rFonts w:ascii="Garamond" w:hAnsi="Garamond"/>
          <w:sz w:val="22"/>
          <w:szCs w:val="22"/>
        </w:rPr>
      </w:pPr>
    </w:p>
  </w:footnote>
  <w:footnote w:id="39">
    <w:p w14:paraId="3BB3D97E" w14:textId="3B4BBB08" w:rsidR="0091670A" w:rsidRDefault="0091670A">
      <w:pPr>
        <w:pStyle w:val="FootnoteText"/>
      </w:pPr>
      <w:r>
        <w:rPr>
          <w:rStyle w:val="FootnoteReference"/>
        </w:rPr>
        <w:footnoteRef/>
      </w:r>
      <w:r>
        <w:t xml:space="preserve"> </w:t>
      </w:r>
      <w:r w:rsidRPr="00F2798B">
        <w:rPr>
          <w:rFonts w:ascii="Palatino Linotype" w:hAnsi="Palatino Linotype"/>
          <w:sz w:val="22"/>
          <w:szCs w:val="22"/>
        </w:rPr>
        <w:t xml:space="preserve">See </w:t>
      </w:r>
      <w:proofErr w:type="spellStart"/>
      <w:r w:rsidRPr="00F2798B">
        <w:rPr>
          <w:rFonts w:ascii="Palatino Linotype" w:hAnsi="Palatino Linotype"/>
          <w:sz w:val="22"/>
          <w:szCs w:val="22"/>
        </w:rPr>
        <w:t>Gendler</w:t>
      </w:r>
      <w:proofErr w:type="spellEnd"/>
      <w:r w:rsidRPr="00F2798B">
        <w:rPr>
          <w:rFonts w:ascii="Palatino Linotype" w:hAnsi="Palatino Linotype"/>
          <w:sz w:val="22"/>
          <w:szCs w:val="22"/>
        </w:rPr>
        <w:t xml:space="preserve"> (2008a, 2008b). Another advantage to thinking about beliefs as emotions is </w:t>
      </w:r>
      <w:r>
        <w:rPr>
          <w:rFonts w:ascii="Palatino Linotype" w:hAnsi="Palatino Linotype"/>
          <w:sz w:val="22"/>
          <w:szCs w:val="22"/>
        </w:rPr>
        <w:t>that</w:t>
      </w:r>
      <w:r w:rsidRPr="00F2798B">
        <w:rPr>
          <w:rFonts w:ascii="Palatino Linotype" w:hAnsi="Palatino Linotype"/>
          <w:sz w:val="22"/>
          <w:szCs w:val="22"/>
        </w:rPr>
        <w:t xml:space="preserve"> many of these examples</w:t>
      </w:r>
      <w:r>
        <w:rPr>
          <w:rFonts w:ascii="Palatino Linotype" w:hAnsi="Palatino Linotype"/>
          <w:sz w:val="22"/>
          <w:szCs w:val="22"/>
        </w:rPr>
        <w:t xml:space="preserve"> can be explained as </w:t>
      </w:r>
      <w:r w:rsidRPr="00F2798B">
        <w:rPr>
          <w:rFonts w:ascii="Palatino Linotype" w:hAnsi="Palatino Linotype"/>
          <w:sz w:val="22"/>
          <w:szCs w:val="22"/>
        </w:rPr>
        <w:t>a conflict of emotions. For example, in the skywalk case the subject is experiencing two distinct emotions both which include the inclination to assent to the way the situation feels. I experience the feeling of fear on the one hand, and the feeling of belief on the other.</w:t>
      </w:r>
      <w:r w:rsidRPr="00A00299">
        <w:rPr>
          <w:rFonts w:ascii="Palatino Linotype" w:hAnsi="Palatino Linotype"/>
        </w:rPr>
        <w:t xml:space="preserve">  </w:t>
      </w:r>
    </w:p>
  </w:footnote>
  <w:footnote w:id="40">
    <w:p w14:paraId="759E0769" w14:textId="77777777" w:rsidR="0091670A" w:rsidRPr="00A00299" w:rsidRDefault="0091670A" w:rsidP="00E1371D">
      <w:pPr>
        <w:pStyle w:val="FootnoteText"/>
        <w:rPr>
          <w:rFonts w:ascii="Palatino Linotype" w:hAnsi="Palatino Linotype"/>
          <w:sz w:val="20"/>
          <w:szCs w:val="20"/>
        </w:rPr>
      </w:pPr>
      <w:r>
        <w:rPr>
          <w:rStyle w:val="FootnoteReference"/>
        </w:rPr>
        <w:footnoteRef/>
      </w:r>
      <w:r>
        <w:t xml:space="preserve"> </w:t>
      </w:r>
      <w:r w:rsidRPr="00A00299">
        <w:rPr>
          <w:rFonts w:ascii="Palatino Linotype" w:hAnsi="Palatino Linotype"/>
          <w:sz w:val="20"/>
          <w:szCs w:val="20"/>
        </w:rPr>
        <w:t xml:space="preserve">For a discussion of ambivalent emotions see </w:t>
      </w:r>
      <w:proofErr w:type="spellStart"/>
      <w:r w:rsidRPr="00A00299">
        <w:rPr>
          <w:rFonts w:ascii="Palatino Linotype" w:hAnsi="Palatino Linotype"/>
          <w:sz w:val="20"/>
          <w:szCs w:val="20"/>
        </w:rPr>
        <w:t>Tappolet</w:t>
      </w:r>
      <w:proofErr w:type="spellEnd"/>
      <w:r w:rsidRPr="00A00299">
        <w:rPr>
          <w:rFonts w:ascii="Palatino Linotype" w:hAnsi="Palatino Linotype"/>
          <w:sz w:val="20"/>
          <w:szCs w:val="20"/>
        </w:rPr>
        <w:t xml:space="preserve"> (2005),</w:t>
      </w:r>
      <w:r>
        <w:rPr>
          <w:rFonts w:ascii="Palatino Linotype" w:hAnsi="Palatino Linotype"/>
          <w:sz w:val="20"/>
          <w:szCs w:val="20"/>
        </w:rPr>
        <w:t xml:space="preserve"> and for some empirical research on emotional dissonance see Pelt, A., et al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654D"/>
    <w:multiLevelType w:val="hybridMultilevel"/>
    <w:tmpl w:val="461CF68A"/>
    <w:lvl w:ilvl="0" w:tplc="18BEA3D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 w15:restartNumberingAfterBreak="0">
    <w:nsid w:val="36313BB9"/>
    <w:multiLevelType w:val="multilevel"/>
    <w:tmpl w:val="C56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A1038"/>
    <w:multiLevelType w:val="hybridMultilevel"/>
    <w:tmpl w:val="D148626E"/>
    <w:lvl w:ilvl="0" w:tplc="71C0324A">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45340C54"/>
    <w:multiLevelType w:val="multilevel"/>
    <w:tmpl w:val="4FCE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853BA"/>
    <w:multiLevelType w:val="hybridMultilevel"/>
    <w:tmpl w:val="D914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C2007"/>
    <w:multiLevelType w:val="hybridMultilevel"/>
    <w:tmpl w:val="9C9A2C0C"/>
    <w:lvl w:ilvl="0" w:tplc="C0CABFE0">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5E8016D9"/>
    <w:multiLevelType w:val="hybridMultilevel"/>
    <w:tmpl w:val="5E38E8A8"/>
    <w:lvl w:ilvl="0" w:tplc="3640A13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C3443F1"/>
    <w:multiLevelType w:val="hybridMultilevel"/>
    <w:tmpl w:val="41B6664E"/>
    <w:lvl w:ilvl="0" w:tplc="4936010A">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6E2145B4"/>
    <w:multiLevelType w:val="hybridMultilevel"/>
    <w:tmpl w:val="962207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23E02"/>
    <w:multiLevelType w:val="hybridMultilevel"/>
    <w:tmpl w:val="8CE6E7D6"/>
    <w:lvl w:ilvl="0" w:tplc="01CEA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57A7C"/>
    <w:multiLevelType w:val="hybridMultilevel"/>
    <w:tmpl w:val="EC041C30"/>
    <w:lvl w:ilvl="0" w:tplc="E50447D2">
      <w:start w:val="1"/>
      <w:numFmt w:val="decimal"/>
      <w:lvlText w:val="%1."/>
      <w:lvlJc w:val="left"/>
      <w:pPr>
        <w:ind w:left="270" w:hanging="360"/>
      </w:pPr>
      <w:rPr>
        <w:rFonts w:ascii="Palatino Linotype" w:eastAsiaTheme="minorEastAsia" w:hAnsi="Palatino Linotype" w:cstheme="minorBidi"/>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4"/>
  </w:num>
  <w:num w:numId="3">
    <w:abstractNumId w:val="1"/>
  </w:num>
  <w:num w:numId="4">
    <w:abstractNumId w:val="6"/>
  </w:num>
  <w:num w:numId="5">
    <w:abstractNumId w:val="10"/>
  </w:num>
  <w:num w:numId="6">
    <w:abstractNumId w:val="2"/>
  </w:num>
  <w:num w:numId="7">
    <w:abstractNumId w:val="5"/>
  </w:num>
  <w:num w:numId="8">
    <w:abstractNumId w:val="8"/>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F4A"/>
    <w:rsid w:val="00000C5B"/>
    <w:rsid w:val="0000162D"/>
    <w:rsid w:val="000030D4"/>
    <w:rsid w:val="000059F2"/>
    <w:rsid w:val="0000694B"/>
    <w:rsid w:val="00011E41"/>
    <w:rsid w:val="00015479"/>
    <w:rsid w:val="000155F0"/>
    <w:rsid w:val="000226F9"/>
    <w:rsid w:val="000234E2"/>
    <w:rsid w:val="0002687E"/>
    <w:rsid w:val="00026E95"/>
    <w:rsid w:val="00030546"/>
    <w:rsid w:val="00033F0B"/>
    <w:rsid w:val="00036F4A"/>
    <w:rsid w:val="000403AE"/>
    <w:rsid w:val="000408D1"/>
    <w:rsid w:val="000416D1"/>
    <w:rsid w:val="000417D1"/>
    <w:rsid w:val="0004226C"/>
    <w:rsid w:val="0004492B"/>
    <w:rsid w:val="00044FB4"/>
    <w:rsid w:val="00045B84"/>
    <w:rsid w:val="000463F8"/>
    <w:rsid w:val="000544E9"/>
    <w:rsid w:val="00055D23"/>
    <w:rsid w:val="00056301"/>
    <w:rsid w:val="000572B9"/>
    <w:rsid w:val="0006012E"/>
    <w:rsid w:val="00060ABB"/>
    <w:rsid w:val="000633A7"/>
    <w:rsid w:val="00064E4E"/>
    <w:rsid w:val="00070024"/>
    <w:rsid w:val="0007092B"/>
    <w:rsid w:val="0007331C"/>
    <w:rsid w:val="000756DF"/>
    <w:rsid w:val="0008288A"/>
    <w:rsid w:val="00082A86"/>
    <w:rsid w:val="00084EC4"/>
    <w:rsid w:val="00084F00"/>
    <w:rsid w:val="00087398"/>
    <w:rsid w:val="00093AEF"/>
    <w:rsid w:val="00096710"/>
    <w:rsid w:val="000A0EC6"/>
    <w:rsid w:val="000A111F"/>
    <w:rsid w:val="000A4389"/>
    <w:rsid w:val="000A5616"/>
    <w:rsid w:val="000A5F00"/>
    <w:rsid w:val="000A6F48"/>
    <w:rsid w:val="000B0F13"/>
    <w:rsid w:val="000B15D3"/>
    <w:rsid w:val="000B4081"/>
    <w:rsid w:val="000B6525"/>
    <w:rsid w:val="000B723C"/>
    <w:rsid w:val="000B79B2"/>
    <w:rsid w:val="000C1F45"/>
    <w:rsid w:val="000C2354"/>
    <w:rsid w:val="000C706D"/>
    <w:rsid w:val="000D23E0"/>
    <w:rsid w:val="000D3456"/>
    <w:rsid w:val="000D3B71"/>
    <w:rsid w:val="000D3ED0"/>
    <w:rsid w:val="000D6FBC"/>
    <w:rsid w:val="000E1198"/>
    <w:rsid w:val="000E1433"/>
    <w:rsid w:val="000E227B"/>
    <w:rsid w:val="000E2D7D"/>
    <w:rsid w:val="000E3D06"/>
    <w:rsid w:val="000F1E17"/>
    <w:rsid w:val="000F662F"/>
    <w:rsid w:val="000F6EF4"/>
    <w:rsid w:val="000F7C7F"/>
    <w:rsid w:val="00100506"/>
    <w:rsid w:val="0010427A"/>
    <w:rsid w:val="00104553"/>
    <w:rsid w:val="00105DAD"/>
    <w:rsid w:val="00113BBE"/>
    <w:rsid w:val="00115F30"/>
    <w:rsid w:val="00121306"/>
    <w:rsid w:val="00121863"/>
    <w:rsid w:val="00121ACF"/>
    <w:rsid w:val="00124C20"/>
    <w:rsid w:val="001273E2"/>
    <w:rsid w:val="00127725"/>
    <w:rsid w:val="00131688"/>
    <w:rsid w:val="001317D9"/>
    <w:rsid w:val="00131B1C"/>
    <w:rsid w:val="00131E3F"/>
    <w:rsid w:val="00133398"/>
    <w:rsid w:val="00135A17"/>
    <w:rsid w:val="0013763A"/>
    <w:rsid w:val="0014701C"/>
    <w:rsid w:val="0015074B"/>
    <w:rsid w:val="00151096"/>
    <w:rsid w:val="001515B4"/>
    <w:rsid w:val="0015183A"/>
    <w:rsid w:val="001525DC"/>
    <w:rsid w:val="001621CE"/>
    <w:rsid w:val="00162D1B"/>
    <w:rsid w:val="0016337D"/>
    <w:rsid w:val="001633EA"/>
    <w:rsid w:val="00166E66"/>
    <w:rsid w:val="00176270"/>
    <w:rsid w:val="001773A1"/>
    <w:rsid w:val="00184BEC"/>
    <w:rsid w:val="0018594E"/>
    <w:rsid w:val="001869D6"/>
    <w:rsid w:val="001905AF"/>
    <w:rsid w:val="001926E5"/>
    <w:rsid w:val="00192E03"/>
    <w:rsid w:val="0019517A"/>
    <w:rsid w:val="001A73BA"/>
    <w:rsid w:val="001A7829"/>
    <w:rsid w:val="001B0033"/>
    <w:rsid w:val="001B309B"/>
    <w:rsid w:val="001B33F5"/>
    <w:rsid w:val="001B43C3"/>
    <w:rsid w:val="001B5216"/>
    <w:rsid w:val="001B70F7"/>
    <w:rsid w:val="001C01A1"/>
    <w:rsid w:val="001C1A74"/>
    <w:rsid w:val="001C3079"/>
    <w:rsid w:val="001C5559"/>
    <w:rsid w:val="001C5B57"/>
    <w:rsid w:val="001D3319"/>
    <w:rsid w:val="001D51D4"/>
    <w:rsid w:val="001D73FF"/>
    <w:rsid w:val="001E1B87"/>
    <w:rsid w:val="001E61CD"/>
    <w:rsid w:val="001F0BEC"/>
    <w:rsid w:val="001F3127"/>
    <w:rsid w:val="001F4BB2"/>
    <w:rsid w:val="001F4BB8"/>
    <w:rsid w:val="001F6648"/>
    <w:rsid w:val="0020006D"/>
    <w:rsid w:val="00201F6E"/>
    <w:rsid w:val="00203E45"/>
    <w:rsid w:val="0020643E"/>
    <w:rsid w:val="00207E84"/>
    <w:rsid w:val="0021000E"/>
    <w:rsid w:val="00210FBB"/>
    <w:rsid w:val="00212C8B"/>
    <w:rsid w:val="002140A6"/>
    <w:rsid w:val="002144DA"/>
    <w:rsid w:val="00215442"/>
    <w:rsid w:val="002210E9"/>
    <w:rsid w:val="0022544E"/>
    <w:rsid w:val="002256E7"/>
    <w:rsid w:val="00226EC5"/>
    <w:rsid w:val="00227936"/>
    <w:rsid w:val="002331B4"/>
    <w:rsid w:val="00236121"/>
    <w:rsid w:val="00240190"/>
    <w:rsid w:val="00240D54"/>
    <w:rsid w:val="00241A70"/>
    <w:rsid w:val="00243102"/>
    <w:rsid w:val="00251050"/>
    <w:rsid w:val="002530EE"/>
    <w:rsid w:val="0025620F"/>
    <w:rsid w:val="0025625E"/>
    <w:rsid w:val="00262FAD"/>
    <w:rsid w:val="00264E19"/>
    <w:rsid w:val="00267BBA"/>
    <w:rsid w:val="00272092"/>
    <w:rsid w:val="0027213D"/>
    <w:rsid w:val="00275CAC"/>
    <w:rsid w:val="0027703A"/>
    <w:rsid w:val="00284F8A"/>
    <w:rsid w:val="00287592"/>
    <w:rsid w:val="00292E60"/>
    <w:rsid w:val="002932EC"/>
    <w:rsid w:val="00296467"/>
    <w:rsid w:val="00297735"/>
    <w:rsid w:val="00297AED"/>
    <w:rsid w:val="002A2DB5"/>
    <w:rsid w:val="002A2F15"/>
    <w:rsid w:val="002A36C7"/>
    <w:rsid w:val="002A3D32"/>
    <w:rsid w:val="002A4B1E"/>
    <w:rsid w:val="002A5536"/>
    <w:rsid w:val="002A560F"/>
    <w:rsid w:val="002A5624"/>
    <w:rsid w:val="002A601F"/>
    <w:rsid w:val="002A729F"/>
    <w:rsid w:val="002B1766"/>
    <w:rsid w:val="002B5713"/>
    <w:rsid w:val="002B5749"/>
    <w:rsid w:val="002C0D4D"/>
    <w:rsid w:val="002C25F2"/>
    <w:rsid w:val="002C430B"/>
    <w:rsid w:val="002C451E"/>
    <w:rsid w:val="002C4DFB"/>
    <w:rsid w:val="002C4F4D"/>
    <w:rsid w:val="002C7898"/>
    <w:rsid w:val="002D103A"/>
    <w:rsid w:val="002D244F"/>
    <w:rsid w:val="002D2C00"/>
    <w:rsid w:val="002D30F2"/>
    <w:rsid w:val="002D6E6D"/>
    <w:rsid w:val="002E07A9"/>
    <w:rsid w:val="002E11AC"/>
    <w:rsid w:val="002E45E3"/>
    <w:rsid w:val="002E5C57"/>
    <w:rsid w:val="002F01E3"/>
    <w:rsid w:val="002F05F0"/>
    <w:rsid w:val="002F0B81"/>
    <w:rsid w:val="002F37F6"/>
    <w:rsid w:val="002F6A9C"/>
    <w:rsid w:val="002F6EF7"/>
    <w:rsid w:val="002F7ABB"/>
    <w:rsid w:val="002F7F26"/>
    <w:rsid w:val="00300E58"/>
    <w:rsid w:val="00302DF0"/>
    <w:rsid w:val="00305448"/>
    <w:rsid w:val="003064D2"/>
    <w:rsid w:val="0030741C"/>
    <w:rsid w:val="003108C5"/>
    <w:rsid w:val="003135E6"/>
    <w:rsid w:val="00313984"/>
    <w:rsid w:val="00315246"/>
    <w:rsid w:val="00317F03"/>
    <w:rsid w:val="00320B27"/>
    <w:rsid w:val="003218F5"/>
    <w:rsid w:val="00324A8B"/>
    <w:rsid w:val="00325416"/>
    <w:rsid w:val="003342D4"/>
    <w:rsid w:val="00337390"/>
    <w:rsid w:val="00340077"/>
    <w:rsid w:val="00340D95"/>
    <w:rsid w:val="00341B69"/>
    <w:rsid w:val="00344567"/>
    <w:rsid w:val="00345C9F"/>
    <w:rsid w:val="00346D0F"/>
    <w:rsid w:val="00347EAB"/>
    <w:rsid w:val="00354FF0"/>
    <w:rsid w:val="00355051"/>
    <w:rsid w:val="00355A46"/>
    <w:rsid w:val="00360168"/>
    <w:rsid w:val="00360CD9"/>
    <w:rsid w:val="003654AC"/>
    <w:rsid w:val="00365E36"/>
    <w:rsid w:val="00367CCC"/>
    <w:rsid w:val="003726C1"/>
    <w:rsid w:val="003767D2"/>
    <w:rsid w:val="00380E4E"/>
    <w:rsid w:val="00381F21"/>
    <w:rsid w:val="00382D9A"/>
    <w:rsid w:val="0038701C"/>
    <w:rsid w:val="00387C28"/>
    <w:rsid w:val="00392FE3"/>
    <w:rsid w:val="0039395D"/>
    <w:rsid w:val="0039488A"/>
    <w:rsid w:val="00394DF5"/>
    <w:rsid w:val="003962EA"/>
    <w:rsid w:val="00396C53"/>
    <w:rsid w:val="003A19FB"/>
    <w:rsid w:val="003A23B0"/>
    <w:rsid w:val="003A24AC"/>
    <w:rsid w:val="003A3D17"/>
    <w:rsid w:val="003A6B64"/>
    <w:rsid w:val="003B079E"/>
    <w:rsid w:val="003B23E8"/>
    <w:rsid w:val="003B56C7"/>
    <w:rsid w:val="003B5F96"/>
    <w:rsid w:val="003C3E99"/>
    <w:rsid w:val="003C456C"/>
    <w:rsid w:val="003C4B91"/>
    <w:rsid w:val="003D1A4D"/>
    <w:rsid w:val="003D294B"/>
    <w:rsid w:val="003D2E62"/>
    <w:rsid w:val="003D3C21"/>
    <w:rsid w:val="003D5A15"/>
    <w:rsid w:val="003D5BB1"/>
    <w:rsid w:val="003D5D48"/>
    <w:rsid w:val="003D726E"/>
    <w:rsid w:val="003D7E31"/>
    <w:rsid w:val="003E1541"/>
    <w:rsid w:val="003E1BD7"/>
    <w:rsid w:val="003E5733"/>
    <w:rsid w:val="003E6D98"/>
    <w:rsid w:val="003E7779"/>
    <w:rsid w:val="003E7F6D"/>
    <w:rsid w:val="003E7F93"/>
    <w:rsid w:val="003F12DC"/>
    <w:rsid w:val="003F3ACB"/>
    <w:rsid w:val="003F4AB5"/>
    <w:rsid w:val="00400B17"/>
    <w:rsid w:val="00402743"/>
    <w:rsid w:val="004067CC"/>
    <w:rsid w:val="00407862"/>
    <w:rsid w:val="00410553"/>
    <w:rsid w:val="00410E56"/>
    <w:rsid w:val="0041399C"/>
    <w:rsid w:val="00414636"/>
    <w:rsid w:val="00415664"/>
    <w:rsid w:val="00416603"/>
    <w:rsid w:val="00416B83"/>
    <w:rsid w:val="004215C8"/>
    <w:rsid w:val="00421E81"/>
    <w:rsid w:val="00426CF8"/>
    <w:rsid w:val="00427E5E"/>
    <w:rsid w:val="00432FBD"/>
    <w:rsid w:val="00440263"/>
    <w:rsid w:val="004477C3"/>
    <w:rsid w:val="00447DCD"/>
    <w:rsid w:val="0045157F"/>
    <w:rsid w:val="0045175A"/>
    <w:rsid w:val="00456F0C"/>
    <w:rsid w:val="0046008B"/>
    <w:rsid w:val="00460D76"/>
    <w:rsid w:val="00461126"/>
    <w:rsid w:val="00462542"/>
    <w:rsid w:val="00463697"/>
    <w:rsid w:val="00466345"/>
    <w:rsid w:val="00470D20"/>
    <w:rsid w:val="00471569"/>
    <w:rsid w:val="00477002"/>
    <w:rsid w:val="00477671"/>
    <w:rsid w:val="0048128E"/>
    <w:rsid w:val="004839DE"/>
    <w:rsid w:val="0048405D"/>
    <w:rsid w:val="00486DDC"/>
    <w:rsid w:val="004903A6"/>
    <w:rsid w:val="00495348"/>
    <w:rsid w:val="0049584D"/>
    <w:rsid w:val="00496CD0"/>
    <w:rsid w:val="00496FF7"/>
    <w:rsid w:val="004974F3"/>
    <w:rsid w:val="004979BC"/>
    <w:rsid w:val="004A1679"/>
    <w:rsid w:val="004A2D0B"/>
    <w:rsid w:val="004B0482"/>
    <w:rsid w:val="004B2A0E"/>
    <w:rsid w:val="004B6C9B"/>
    <w:rsid w:val="004B71CC"/>
    <w:rsid w:val="004B7CF9"/>
    <w:rsid w:val="004C00F5"/>
    <w:rsid w:val="004C161B"/>
    <w:rsid w:val="004C1709"/>
    <w:rsid w:val="004C182A"/>
    <w:rsid w:val="004C2646"/>
    <w:rsid w:val="004C7F52"/>
    <w:rsid w:val="004D0363"/>
    <w:rsid w:val="004D09B3"/>
    <w:rsid w:val="004D1B8A"/>
    <w:rsid w:val="004D2E4E"/>
    <w:rsid w:val="004D3693"/>
    <w:rsid w:val="004D5AA2"/>
    <w:rsid w:val="004D5FD3"/>
    <w:rsid w:val="004D669F"/>
    <w:rsid w:val="004D6EC3"/>
    <w:rsid w:val="004E0207"/>
    <w:rsid w:val="004E32A8"/>
    <w:rsid w:val="004E3788"/>
    <w:rsid w:val="004E5A4F"/>
    <w:rsid w:val="004E5D29"/>
    <w:rsid w:val="004F0AAB"/>
    <w:rsid w:val="004F2EA7"/>
    <w:rsid w:val="004F4B77"/>
    <w:rsid w:val="004F4C21"/>
    <w:rsid w:val="004F74AF"/>
    <w:rsid w:val="00503374"/>
    <w:rsid w:val="0050428B"/>
    <w:rsid w:val="005048DB"/>
    <w:rsid w:val="0050534C"/>
    <w:rsid w:val="0051106E"/>
    <w:rsid w:val="0051191C"/>
    <w:rsid w:val="00511E84"/>
    <w:rsid w:val="00512CB4"/>
    <w:rsid w:val="005163FC"/>
    <w:rsid w:val="00516673"/>
    <w:rsid w:val="0052095E"/>
    <w:rsid w:val="00521A37"/>
    <w:rsid w:val="00524840"/>
    <w:rsid w:val="005260B7"/>
    <w:rsid w:val="0052667E"/>
    <w:rsid w:val="0053387D"/>
    <w:rsid w:val="0053428C"/>
    <w:rsid w:val="00534767"/>
    <w:rsid w:val="005351A1"/>
    <w:rsid w:val="00535ECA"/>
    <w:rsid w:val="0053650B"/>
    <w:rsid w:val="00536C68"/>
    <w:rsid w:val="00540D91"/>
    <w:rsid w:val="00541D23"/>
    <w:rsid w:val="005432D2"/>
    <w:rsid w:val="005443C8"/>
    <w:rsid w:val="00550CC8"/>
    <w:rsid w:val="00551F23"/>
    <w:rsid w:val="00553B77"/>
    <w:rsid w:val="00553C9E"/>
    <w:rsid w:val="00556AC8"/>
    <w:rsid w:val="00557E65"/>
    <w:rsid w:val="00562F9E"/>
    <w:rsid w:val="00565957"/>
    <w:rsid w:val="00566770"/>
    <w:rsid w:val="00567A45"/>
    <w:rsid w:val="00570121"/>
    <w:rsid w:val="00570981"/>
    <w:rsid w:val="00571B81"/>
    <w:rsid w:val="00572676"/>
    <w:rsid w:val="00573DBA"/>
    <w:rsid w:val="00577031"/>
    <w:rsid w:val="0058218A"/>
    <w:rsid w:val="0058483E"/>
    <w:rsid w:val="0058708E"/>
    <w:rsid w:val="00587646"/>
    <w:rsid w:val="00590816"/>
    <w:rsid w:val="00595511"/>
    <w:rsid w:val="00595924"/>
    <w:rsid w:val="00595F24"/>
    <w:rsid w:val="00595FBC"/>
    <w:rsid w:val="005A1589"/>
    <w:rsid w:val="005A2359"/>
    <w:rsid w:val="005A2801"/>
    <w:rsid w:val="005A368A"/>
    <w:rsid w:val="005A3C07"/>
    <w:rsid w:val="005A42E9"/>
    <w:rsid w:val="005A4717"/>
    <w:rsid w:val="005A54E6"/>
    <w:rsid w:val="005A65C6"/>
    <w:rsid w:val="005B4832"/>
    <w:rsid w:val="005B4C4B"/>
    <w:rsid w:val="005B4D1C"/>
    <w:rsid w:val="005B52D0"/>
    <w:rsid w:val="005B56EA"/>
    <w:rsid w:val="005B69AB"/>
    <w:rsid w:val="005C0984"/>
    <w:rsid w:val="005C0F65"/>
    <w:rsid w:val="005C0FC9"/>
    <w:rsid w:val="005C4FF9"/>
    <w:rsid w:val="005C578B"/>
    <w:rsid w:val="005C5FC9"/>
    <w:rsid w:val="005C6827"/>
    <w:rsid w:val="005C721A"/>
    <w:rsid w:val="005D01C4"/>
    <w:rsid w:val="005D3291"/>
    <w:rsid w:val="005D4B61"/>
    <w:rsid w:val="005D4C82"/>
    <w:rsid w:val="005E2DFE"/>
    <w:rsid w:val="005E4F29"/>
    <w:rsid w:val="005E5244"/>
    <w:rsid w:val="005F0B69"/>
    <w:rsid w:val="005F2805"/>
    <w:rsid w:val="00601063"/>
    <w:rsid w:val="0060728E"/>
    <w:rsid w:val="0060786C"/>
    <w:rsid w:val="006106D9"/>
    <w:rsid w:val="0061105B"/>
    <w:rsid w:val="00613488"/>
    <w:rsid w:val="006142A3"/>
    <w:rsid w:val="0062090D"/>
    <w:rsid w:val="006252BE"/>
    <w:rsid w:val="00625D14"/>
    <w:rsid w:val="00625E06"/>
    <w:rsid w:val="00625F75"/>
    <w:rsid w:val="00626CB9"/>
    <w:rsid w:val="006274F0"/>
    <w:rsid w:val="00633027"/>
    <w:rsid w:val="00635FD5"/>
    <w:rsid w:val="00640470"/>
    <w:rsid w:val="006404ED"/>
    <w:rsid w:val="006416D7"/>
    <w:rsid w:val="00642116"/>
    <w:rsid w:val="0064530C"/>
    <w:rsid w:val="00645397"/>
    <w:rsid w:val="0065221C"/>
    <w:rsid w:val="00655EBB"/>
    <w:rsid w:val="00660162"/>
    <w:rsid w:val="00661445"/>
    <w:rsid w:val="006625BA"/>
    <w:rsid w:val="00663A9E"/>
    <w:rsid w:val="006700A0"/>
    <w:rsid w:val="00670E28"/>
    <w:rsid w:val="00670F27"/>
    <w:rsid w:val="0067126A"/>
    <w:rsid w:val="00671AB4"/>
    <w:rsid w:val="00671D41"/>
    <w:rsid w:val="00671D47"/>
    <w:rsid w:val="006727F7"/>
    <w:rsid w:val="00673568"/>
    <w:rsid w:val="00674DFC"/>
    <w:rsid w:val="00681215"/>
    <w:rsid w:val="00681AF6"/>
    <w:rsid w:val="00683437"/>
    <w:rsid w:val="006835D8"/>
    <w:rsid w:val="00685314"/>
    <w:rsid w:val="00690059"/>
    <w:rsid w:val="00697762"/>
    <w:rsid w:val="00697960"/>
    <w:rsid w:val="006A0CCF"/>
    <w:rsid w:val="006A275F"/>
    <w:rsid w:val="006A5131"/>
    <w:rsid w:val="006A5219"/>
    <w:rsid w:val="006A6ED0"/>
    <w:rsid w:val="006B0159"/>
    <w:rsid w:val="006B13D7"/>
    <w:rsid w:val="006B2573"/>
    <w:rsid w:val="006B26FD"/>
    <w:rsid w:val="006B33C6"/>
    <w:rsid w:val="006C11AB"/>
    <w:rsid w:val="006C28CB"/>
    <w:rsid w:val="006C43B0"/>
    <w:rsid w:val="006C4660"/>
    <w:rsid w:val="006C4957"/>
    <w:rsid w:val="006C5E4D"/>
    <w:rsid w:val="006C64F5"/>
    <w:rsid w:val="006D03C5"/>
    <w:rsid w:val="006D3201"/>
    <w:rsid w:val="006D3BBD"/>
    <w:rsid w:val="006D5DF8"/>
    <w:rsid w:val="006D7E31"/>
    <w:rsid w:val="006E083E"/>
    <w:rsid w:val="006E3E7D"/>
    <w:rsid w:val="006E47BE"/>
    <w:rsid w:val="006E6559"/>
    <w:rsid w:val="0070037F"/>
    <w:rsid w:val="00701095"/>
    <w:rsid w:val="007027E8"/>
    <w:rsid w:val="00705966"/>
    <w:rsid w:val="007107B5"/>
    <w:rsid w:val="0071321E"/>
    <w:rsid w:val="00713D50"/>
    <w:rsid w:val="00714816"/>
    <w:rsid w:val="007154F1"/>
    <w:rsid w:val="00715F57"/>
    <w:rsid w:val="0071701C"/>
    <w:rsid w:val="007205DF"/>
    <w:rsid w:val="00722E40"/>
    <w:rsid w:val="00724349"/>
    <w:rsid w:val="007260DF"/>
    <w:rsid w:val="007314E9"/>
    <w:rsid w:val="00731553"/>
    <w:rsid w:val="00737057"/>
    <w:rsid w:val="00740C37"/>
    <w:rsid w:val="00742294"/>
    <w:rsid w:val="00743717"/>
    <w:rsid w:val="00743DD0"/>
    <w:rsid w:val="007440BA"/>
    <w:rsid w:val="00745070"/>
    <w:rsid w:val="00745A1A"/>
    <w:rsid w:val="00746F6C"/>
    <w:rsid w:val="0075022F"/>
    <w:rsid w:val="007508E9"/>
    <w:rsid w:val="00755054"/>
    <w:rsid w:val="00755DA4"/>
    <w:rsid w:val="00756EBB"/>
    <w:rsid w:val="007578CA"/>
    <w:rsid w:val="00766317"/>
    <w:rsid w:val="00767287"/>
    <w:rsid w:val="00770446"/>
    <w:rsid w:val="00771C44"/>
    <w:rsid w:val="00773240"/>
    <w:rsid w:val="00773FE9"/>
    <w:rsid w:val="007745A8"/>
    <w:rsid w:val="00775D05"/>
    <w:rsid w:val="007768BB"/>
    <w:rsid w:val="0077720B"/>
    <w:rsid w:val="007808D1"/>
    <w:rsid w:val="007813CB"/>
    <w:rsid w:val="007815D1"/>
    <w:rsid w:val="007835E3"/>
    <w:rsid w:val="00783717"/>
    <w:rsid w:val="00784572"/>
    <w:rsid w:val="00785B83"/>
    <w:rsid w:val="00787391"/>
    <w:rsid w:val="0079354C"/>
    <w:rsid w:val="0079401C"/>
    <w:rsid w:val="007A1585"/>
    <w:rsid w:val="007A44F9"/>
    <w:rsid w:val="007A63B4"/>
    <w:rsid w:val="007A6535"/>
    <w:rsid w:val="007B0A17"/>
    <w:rsid w:val="007B3FD2"/>
    <w:rsid w:val="007B7CF8"/>
    <w:rsid w:val="007C2FF2"/>
    <w:rsid w:val="007C33D6"/>
    <w:rsid w:val="007C7EAF"/>
    <w:rsid w:val="007C7EF8"/>
    <w:rsid w:val="007D01C6"/>
    <w:rsid w:val="007D2039"/>
    <w:rsid w:val="007D2199"/>
    <w:rsid w:val="007D68C3"/>
    <w:rsid w:val="007D7800"/>
    <w:rsid w:val="007D797F"/>
    <w:rsid w:val="007E05A0"/>
    <w:rsid w:val="007E0FC7"/>
    <w:rsid w:val="007E282C"/>
    <w:rsid w:val="007E307A"/>
    <w:rsid w:val="007F6816"/>
    <w:rsid w:val="00800C13"/>
    <w:rsid w:val="0080159C"/>
    <w:rsid w:val="0080171A"/>
    <w:rsid w:val="00803D37"/>
    <w:rsid w:val="0080557B"/>
    <w:rsid w:val="00805EE1"/>
    <w:rsid w:val="0080661B"/>
    <w:rsid w:val="008108A9"/>
    <w:rsid w:val="00810FE0"/>
    <w:rsid w:val="00811278"/>
    <w:rsid w:val="00815197"/>
    <w:rsid w:val="00815A17"/>
    <w:rsid w:val="00816222"/>
    <w:rsid w:val="0081649B"/>
    <w:rsid w:val="00821C67"/>
    <w:rsid w:val="008229DB"/>
    <w:rsid w:val="0082353D"/>
    <w:rsid w:val="008244A6"/>
    <w:rsid w:val="00824AC9"/>
    <w:rsid w:val="00824F20"/>
    <w:rsid w:val="00827F1D"/>
    <w:rsid w:val="00830CF0"/>
    <w:rsid w:val="00831021"/>
    <w:rsid w:val="0083204E"/>
    <w:rsid w:val="00834651"/>
    <w:rsid w:val="00840763"/>
    <w:rsid w:val="00845591"/>
    <w:rsid w:val="0084648B"/>
    <w:rsid w:val="00846716"/>
    <w:rsid w:val="00850CF5"/>
    <w:rsid w:val="008517F5"/>
    <w:rsid w:val="00853873"/>
    <w:rsid w:val="00854AB2"/>
    <w:rsid w:val="00854EB4"/>
    <w:rsid w:val="00855D1C"/>
    <w:rsid w:val="008629D5"/>
    <w:rsid w:val="00863A3C"/>
    <w:rsid w:val="00870BFD"/>
    <w:rsid w:val="00871403"/>
    <w:rsid w:val="00873592"/>
    <w:rsid w:val="00873885"/>
    <w:rsid w:val="00873934"/>
    <w:rsid w:val="00873D94"/>
    <w:rsid w:val="00874F2F"/>
    <w:rsid w:val="00875CE9"/>
    <w:rsid w:val="00876696"/>
    <w:rsid w:val="00880DAC"/>
    <w:rsid w:val="00881B59"/>
    <w:rsid w:val="00882602"/>
    <w:rsid w:val="008827C1"/>
    <w:rsid w:val="00885AB0"/>
    <w:rsid w:val="00887E32"/>
    <w:rsid w:val="008904FD"/>
    <w:rsid w:val="0089076A"/>
    <w:rsid w:val="00893306"/>
    <w:rsid w:val="008941E2"/>
    <w:rsid w:val="00896989"/>
    <w:rsid w:val="00897DF8"/>
    <w:rsid w:val="008A13DA"/>
    <w:rsid w:val="008A2C0D"/>
    <w:rsid w:val="008A4983"/>
    <w:rsid w:val="008A4E96"/>
    <w:rsid w:val="008A5D7D"/>
    <w:rsid w:val="008A5E23"/>
    <w:rsid w:val="008B0A86"/>
    <w:rsid w:val="008B1311"/>
    <w:rsid w:val="008B26EA"/>
    <w:rsid w:val="008B5EE2"/>
    <w:rsid w:val="008B674D"/>
    <w:rsid w:val="008B7D3A"/>
    <w:rsid w:val="008C3551"/>
    <w:rsid w:val="008C57CB"/>
    <w:rsid w:val="008C6836"/>
    <w:rsid w:val="008D1132"/>
    <w:rsid w:val="008D1CD3"/>
    <w:rsid w:val="008D367B"/>
    <w:rsid w:val="008D4C99"/>
    <w:rsid w:val="008D7005"/>
    <w:rsid w:val="008D7F06"/>
    <w:rsid w:val="008E17BD"/>
    <w:rsid w:val="008E5CB3"/>
    <w:rsid w:val="008F00EF"/>
    <w:rsid w:val="008F0624"/>
    <w:rsid w:val="008F0762"/>
    <w:rsid w:val="008F26CB"/>
    <w:rsid w:val="008F3951"/>
    <w:rsid w:val="008F5243"/>
    <w:rsid w:val="008F7311"/>
    <w:rsid w:val="00900017"/>
    <w:rsid w:val="00902054"/>
    <w:rsid w:val="009050A7"/>
    <w:rsid w:val="00905C9D"/>
    <w:rsid w:val="009122A8"/>
    <w:rsid w:val="00914067"/>
    <w:rsid w:val="00915209"/>
    <w:rsid w:val="0091536C"/>
    <w:rsid w:val="0091670A"/>
    <w:rsid w:val="00916F8C"/>
    <w:rsid w:val="00921D40"/>
    <w:rsid w:val="00921D53"/>
    <w:rsid w:val="009228F0"/>
    <w:rsid w:val="0092500B"/>
    <w:rsid w:val="00934285"/>
    <w:rsid w:val="009414AE"/>
    <w:rsid w:val="00941768"/>
    <w:rsid w:val="009471C4"/>
    <w:rsid w:val="00947AB2"/>
    <w:rsid w:val="00953AFC"/>
    <w:rsid w:val="00961206"/>
    <w:rsid w:val="0096192D"/>
    <w:rsid w:val="00963E2F"/>
    <w:rsid w:val="009643CD"/>
    <w:rsid w:val="00965539"/>
    <w:rsid w:val="00967FB3"/>
    <w:rsid w:val="009724F8"/>
    <w:rsid w:val="00974B6D"/>
    <w:rsid w:val="00977490"/>
    <w:rsid w:val="00980CE4"/>
    <w:rsid w:val="00980EC6"/>
    <w:rsid w:val="00981BE2"/>
    <w:rsid w:val="009844B7"/>
    <w:rsid w:val="0098563D"/>
    <w:rsid w:val="00986CDC"/>
    <w:rsid w:val="00987597"/>
    <w:rsid w:val="00987664"/>
    <w:rsid w:val="00992118"/>
    <w:rsid w:val="00992709"/>
    <w:rsid w:val="009947F5"/>
    <w:rsid w:val="009959DE"/>
    <w:rsid w:val="00997043"/>
    <w:rsid w:val="00997B88"/>
    <w:rsid w:val="009A0AC4"/>
    <w:rsid w:val="009A100F"/>
    <w:rsid w:val="009A352D"/>
    <w:rsid w:val="009A5D15"/>
    <w:rsid w:val="009A6014"/>
    <w:rsid w:val="009B1DAE"/>
    <w:rsid w:val="009B1E86"/>
    <w:rsid w:val="009B215D"/>
    <w:rsid w:val="009B21E2"/>
    <w:rsid w:val="009B3EE1"/>
    <w:rsid w:val="009B4A25"/>
    <w:rsid w:val="009B66DF"/>
    <w:rsid w:val="009B779F"/>
    <w:rsid w:val="009B77C0"/>
    <w:rsid w:val="009C3875"/>
    <w:rsid w:val="009C491A"/>
    <w:rsid w:val="009D2D31"/>
    <w:rsid w:val="009D30A1"/>
    <w:rsid w:val="009D530B"/>
    <w:rsid w:val="009D5A2D"/>
    <w:rsid w:val="009D5E4F"/>
    <w:rsid w:val="009E2AD9"/>
    <w:rsid w:val="009E62D3"/>
    <w:rsid w:val="009E7137"/>
    <w:rsid w:val="009F0AC2"/>
    <w:rsid w:val="009F0F16"/>
    <w:rsid w:val="009F150F"/>
    <w:rsid w:val="009F298E"/>
    <w:rsid w:val="009F5129"/>
    <w:rsid w:val="009F5438"/>
    <w:rsid w:val="009F6B65"/>
    <w:rsid w:val="00A00299"/>
    <w:rsid w:val="00A0300C"/>
    <w:rsid w:val="00A0413A"/>
    <w:rsid w:val="00A07381"/>
    <w:rsid w:val="00A073B6"/>
    <w:rsid w:val="00A102B5"/>
    <w:rsid w:val="00A12DDC"/>
    <w:rsid w:val="00A1453F"/>
    <w:rsid w:val="00A166BC"/>
    <w:rsid w:val="00A17DBB"/>
    <w:rsid w:val="00A22FAB"/>
    <w:rsid w:val="00A24BB4"/>
    <w:rsid w:val="00A25A0C"/>
    <w:rsid w:val="00A2685E"/>
    <w:rsid w:val="00A33BEB"/>
    <w:rsid w:val="00A35311"/>
    <w:rsid w:val="00A35EFE"/>
    <w:rsid w:val="00A36A3F"/>
    <w:rsid w:val="00A36CBD"/>
    <w:rsid w:val="00A407B0"/>
    <w:rsid w:val="00A42A8C"/>
    <w:rsid w:val="00A44718"/>
    <w:rsid w:val="00A4524F"/>
    <w:rsid w:val="00A45CC5"/>
    <w:rsid w:val="00A5256B"/>
    <w:rsid w:val="00A52ABB"/>
    <w:rsid w:val="00A56028"/>
    <w:rsid w:val="00A5636A"/>
    <w:rsid w:val="00A56A9C"/>
    <w:rsid w:val="00A57E34"/>
    <w:rsid w:val="00A61868"/>
    <w:rsid w:val="00A6200B"/>
    <w:rsid w:val="00A62971"/>
    <w:rsid w:val="00A66B45"/>
    <w:rsid w:val="00A70AD7"/>
    <w:rsid w:val="00A7693A"/>
    <w:rsid w:val="00A7779B"/>
    <w:rsid w:val="00A81E57"/>
    <w:rsid w:val="00A83ACC"/>
    <w:rsid w:val="00A84F31"/>
    <w:rsid w:val="00A85A49"/>
    <w:rsid w:val="00A86642"/>
    <w:rsid w:val="00A86DEB"/>
    <w:rsid w:val="00A87844"/>
    <w:rsid w:val="00A924A1"/>
    <w:rsid w:val="00A94BE7"/>
    <w:rsid w:val="00A94D1C"/>
    <w:rsid w:val="00A94DD0"/>
    <w:rsid w:val="00AA3565"/>
    <w:rsid w:val="00AA5822"/>
    <w:rsid w:val="00AA7A4E"/>
    <w:rsid w:val="00AB021D"/>
    <w:rsid w:val="00AB4675"/>
    <w:rsid w:val="00AB5AB7"/>
    <w:rsid w:val="00AC013C"/>
    <w:rsid w:val="00AC06AB"/>
    <w:rsid w:val="00AC0748"/>
    <w:rsid w:val="00AC1852"/>
    <w:rsid w:val="00AC1D2A"/>
    <w:rsid w:val="00AC24E9"/>
    <w:rsid w:val="00AC3BCC"/>
    <w:rsid w:val="00AC53E0"/>
    <w:rsid w:val="00AC5517"/>
    <w:rsid w:val="00AC6537"/>
    <w:rsid w:val="00AD0B98"/>
    <w:rsid w:val="00AD0F04"/>
    <w:rsid w:val="00AD14F1"/>
    <w:rsid w:val="00AD1A19"/>
    <w:rsid w:val="00AD49DB"/>
    <w:rsid w:val="00AD63F3"/>
    <w:rsid w:val="00AE1736"/>
    <w:rsid w:val="00AE2C46"/>
    <w:rsid w:val="00AE2DA6"/>
    <w:rsid w:val="00AE59E4"/>
    <w:rsid w:val="00AE779F"/>
    <w:rsid w:val="00AF0D9A"/>
    <w:rsid w:val="00AF2ED4"/>
    <w:rsid w:val="00AF6D2D"/>
    <w:rsid w:val="00B023C9"/>
    <w:rsid w:val="00B04C3D"/>
    <w:rsid w:val="00B05FEB"/>
    <w:rsid w:val="00B076CA"/>
    <w:rsid w:val="00B120DC"/>
    <w:rsid w:val="00B1691A"/>
    <w:rsid w:val="00B16A18"/>
    <w:rsid w:val="00B171F6"/>
    <w:rsid w:val="00B20A05"/>
    <w:rsid w:val="00B20D89"/>
    <w:rsid w:val="00B215E9"/>
    <w:rsid w:val="00B22C21"/>
    <w:rsid w:val="00B236C1"/>
    <w:rsid w:val="00B24DC5"/>
    <w:rsid w:val="00B25294"/>
    <w:rsid w:val="00B259A8"/>
    <w:rsid w:val="00B309E3"/>
    <w:rsid w:val="00B31180"/>
    <w:rsid w:val="00B37BD0"/>
    <w:rsid w:val="00B40259"/>
    <w:rsid w:val="00B404B4"/>
    <w:rsid w:val="00B41994"/>
    <w:rsid w:val="00B4279D"/>
    <w:rsid w:val="00B44055"/>
    <w:rsid w:val="00B47D3C"/>
    <w:rsid w:val="00B57FDD"/>
    <w:rsid w:val="00B6052E"/>
    <w:rsid w:val="00B6218D"/>
    <w:rsid w:val="00B7040B"/>
    <w:rsid w:val="00B70744"/>
    <w:rsid w:val="00B71A5B"/>
    <w:rsid w:val="00B727D8"/>
    <w:rsid w:val="00B750D3"/>
    <w:rsid w:val="00B75427"/>
    <w:rsid w:val="00B80483"/>
    <w:rsid w:val="00B80562"/>
    <w:rsid w:val="00B83CFB"/>
    <w:rsid w:val="00B850BC"/>
    <w:rsid w:val="00B862DA"/>
    <w:rsid w:val="00B935C8"/>
    <w:rsid w:val="00B976F3"/>
    <w:rsid w:val="00B97D46"/>
    <w:rsid w:val="00BA00C9"/>
    <w:rsid w:val="00BA2AB4"/>
    <w:rsid w:val="00BA2B26"/>
    <w:rsid w:val="00BA2D35"/>
    <w:rsid w:val="00BA37F0"/>
    <w:rsid w:val="00BA5D39"/>
    <w:rsid w:val="00BB1ECA"/>
    <w:rsid w:val="00BB6A59"/>
    <w:rsid w:val="00BC02BD"/>
    <w:rsid w:val="00BC0EE2"/>
    <w:rsid w:val="00BC17FF"/>
    <w:rsid w:val="00BC1A30"/>
    <w:rsid w:val="00BC4E21"/>
    <w:rsid w:val="00BC6856"/>
    <w:rsid w:val="00BD1E26"/>
    <w:rsid w:val="00BD2F90"/>
    <w:rsid w:val="00BD4F68"/>
    <w:rsid w:val="00BD5188"/>
    <w:rsid w:val="00BD5E96"/>
    <w:rsid w:val="00BE012A"/>
    <w:rsid w:val="00BE2160"/>
    <w:rsid w:val="00BE5795"/>
    <w:rsid w:val="00BE67D1"/>
    <w:rsid w:val="00BE75A3"/>
    <w:rsid w:val="00BF0DE3"/>
    <w:rsid w:val="00BF51AC"/>
    <w:rsid w:val="00BF7665"/>
    <w:rsid w:val="00C01004"/>
    <w:rsid w:val="00C030FD"/>
    <w:rsid w:val="00C03592"/>
    <w:rsid w:val="00C044C3"/>
    <w:rsid w:val="00C0475C"/>
    <w:rsid w:val="00C05C03"/>
    <w:rsid w:val="00C06A94"/>
    <w:rsid w:val="00C1501C"/>
    <w:rsid w:val="00C15585"/>
    <w:rsid w:val="00C16886"/>
    <w:rsid w:val="00C2002D"/>
    <w:rsid w:val="00C20BA3"/>
    <w:rsid w:val="00C20E07"/>
    <w:rsid w:val="00C22DF3"/>
    <w:rsid w:val="00C239DB"/>
    <w:rsid w:val="00C27589"/>
    <w:rsid w:val="00C2783F"/>
    <w:rsid w:val="00C3291B"/>
    <w:rsid w:val="00C34735"/>
    <w:rsid w:val="00C363D5"/>
    <w:rsid w:val="00C3673A"/>
    <w:rsid w:val="00C36B6E"/>
    <w:rsid w:val="00C37AF4"/>
    <w:rsid w:val="00C37F51"/>
    <w:rsid w:val="00C4247C"/>
    <w:rsid w:val="00C44917"/>
    <w:rsid w:val="00C46FFF"/>
    <w:rsid w:val="00C52E53"/>
    <w:rsid w:val="00C624DF"/>
    <w:rsid w:val="00C63CD2"/>
    <w:rsid w:val="00C65541"/>
    <w:rsid w:val="00C70900"/>
    <w:rsid w:val="00C728FB"/>
    <w:rsid w:val="00C73285"/>
    <w:rsid w:val="00C7432A"/>
    <w:rsid w:val="00C74F8A"/>
    <w:rsid w:val="00C809C3"/>
    <w:rsid w:val="00C826DD"/>
    <w:rsid w:val="00C8417B"/>
    <w:rsid w:val="00C84E6C"/>
    <w:rsid w:val="00C85429"/>
    <w:rsid w:val="00C91FBC"/>
    <w:rsid w:val="00C963DD"/>
    <w:rsid w:val="00C9758A"/>
    <w:rsid w:val="00CA2177"/>
    <w:rsid w:val="00CA29FD"/>
    <w:rsid w:val="00CA41B1"/>
    <w:rsid w:val="00CA505B"/>
    <w:rsid w:val="00CA7D55"/>
    <w:rsid w:val="00CB1CC8"/>
    <w:rsid w:val="00CB4915"/>
    <w:rsid w:val="00CB522B"/>
    <w:rsid w:val="00CB6BFF"/>
    <w:rsid w:val="00CB75A2"/>
    <w:rsid w:val="00CB7EA8"/>
    <w:rsid w:val="00CC0435"/>
    <w:rsid w:val="00CC0B73"/>
    <w:rsid w:val="00CC446D"/>
    <w:rsid w:val="00CC76AB"/>
    <w:rsid w:val="00CD31FA"/>
    <w:rsid w:val="00CD41A9"/>
    <w:rsid w:val="00CD43FC"/>
    <w:rsid w:val="00CD7A8F"/>
    <w:rsid w:val="00CE06D5"/>
    <w:rsid w:val="00CE1552"/>
    <w:rsid w:val="00CE1C82"/>
    <w:rsid w:val="00CE2DA0"/>
    <w:rsid w:val="00CE30C1"/>
    <w:rsid w:val="00CE352E"/>
    <w:rsid w:val="00CE4AB6"/>
    <w:rsid w:val="00CE5E37"/>
    <w:rsid w:val="00CE739D"/>
    <w:rsid w:val="00CF0ED9"/>
    <w:rsid w:val="00CF3573"/>
    <w:rsid w:val="00CF5C3B"/>
    <w:rsid w:val="00CF7CF2"/>
    <w:rsid w:val="00CF7E48"/>
    <w:rsid w:val="00D04434"/>
    <w:rsid w:val="00D04DA5"/>
    <w:rsid w:val="00D060B0"/>
    <w:rsid w:val="00D06608"/>
    <w:rsid w:val="00D1117B"/>
    <w:rsid w:val="00D11928"/>
    <w:rsid w:val="00D12E03"/>
    <w:rsid w:val="00D14F1E"/>
    <w:rsid w:val="00D15D84"/>
    <w:rsid w:val="00D161C3"/>
    <w:rsid w:val="00D20169"/>
    <w:rsid w:val="00D23361"/>
    <w:rsid w:val="00D252F0"/>
    <w:rsid w:val="00D25926"/>
    <w:rsid w:val="00D26A98"/>
    <w:rsid w:val="00D27522"/>
    <w:rsid w:val="00D3163C"/>
    <w:rsid w:val="00D330FE"/>
    <w:rsid w:val="00D33D69"/>
    <w:rsid w:val="00D3516B"/>
    <w:rsid w:val="00D351E1"/>
    <w:rsid w:val="00D3758F"/>
    <w:rsid w:val="00D41387"/>
    <w:rsid w:val="00D47E4B"/>
    <w:rsid w:val="00D50060"/>
    <w:rsid w:val="00D55450"/>
    <w:rsid w:val="00D6056C"/>
    <w:rsid w:val="00D61CB2"/>
    <w:rsid w:val="00D61E53"/>
    <w:rsid w:val="00D657CA"/>
    <w:rsid w:val="00D66928"/>
    <w:rsid w:val="00D66FB7"/>
    <w:rsid w:val="00D71F8A"/>
    <w:rsid w:val="00D73677"/>
    <w:rsid w:val="00D74733"/>
    <w:rsid w:val="00D773CA"/>
    <w:rsid w:val="00D77FCE"/>
    <w:rsid w:val="00D806F4"/>
    <w:rsid w:val="00D818CA"/>
    <w:rsid w:val="00D837C3"/>
    <w:rsid w:val="00D8542B"/>
    <w:rsid w:val="00D85569"/>
    <w:rsid w:val="00D8719D"/>
    <w:rsid w:val="00D973C0"/>
    <w:rsid w:val="00DA0361"/>
    <w:rsid w:val="00DA14A4"/>
    <w:rsid w:val="00DA2DF0"/>
    <w:rsid w:val="00DA2EDA"/>
    <w:rsid w:val="00DA4DCA"/>
    <w:rsid w:val="00DA5E59"/>
    <w:rsid w:val="00DA6806"/>
    <w:rsid w:val="00DB064A"/>
    <w:rsid w:val="00DB3BCB"/>
    <w:rsid w:val="00DB4AAF"/>
    <w:rsid w:val="00DB57EC"/>
    <w:rsid w:val="00DB7F54"/>
    <w:rsid w:val="00DB7FC4"/>
    <w:rsid w:val="00DC35F8"/>
    <w:rsid w:val="00DC3706"/>
    <w:rsid w:val="00DC7A53"/>
    <w:rsid w:val="00DD0080"/>
    <w:rsid w:val="00DD25A2"/>
    <w:rsid w:val="00DD469F"/>
    <w:rsid w:val="00DE2843"/>
    <w:rsid w:val="00DE4BC0"/>
    <w:rsid w:val="00DE54A0"/>
    <w:rsid w:val="00DE5703"/>
    <w:rsid w:val="00DE6986"/>
    <w:rsid w:val="00DE69EB"/>
    <w:rsid w:val="00DE6D63"/>
    <w:rsid w:val="00DE6E84"/>
    <w:rsid w:val="00DE7982"/>
    <w:rsid w:val="00DF0705"/>
    <w:rsid w:val="00DF14A8"/>
    <w:rsid w:val="00DF37B3"/>
    <w:rsid w:val="00DF3F09"/>
    <w:rsid w:val="00DF47DD"/>
    <w:rsid w:val="00DF50E4"/>
    <w:rsid w:val="00DF6FDC"/>
    <w:rsid w:val="00DF7242"/>
    <w:rsid w:val="00E01CBC"/>
    <w:rsid w:val="00E02DBC"/>
    <w:rsid w:val="00E0523F"/>
    <w:rsid w:val="00E071F2"/>
    <w:rsid w:val="00E07560"/>
    <w:rsid w:val="00E10F53"/>
    <w:rsid w:val="00E111C8"/>
    <w:rsid w:val="00E1371D"/>
    <w:rsid w:val="00E163E1"/>
    <w:rsid w:val="00E1760B"/>
    <w:rsid w:val="00E2007A"/>
    <w:rsid w:val="00E254B5"/>
    <w:rsid w:val="00E268B6"/>
    <w:rsid w:val="00E26CEB"/>
    <w:rsid w:val="00E278B1"/>
    <w:rsid w:val="00E30B7F"/>
    <w:rsid w:val="00E31B85"/>
    <w:rsid w:val="00E33AF2"/>
    <w:rsid w:val="00E344D8"/>
    <w:rsid w:val="00E35601"/>
    <w:rsid w:val="00E37E93"/>
    <w:rsid w:val="00E4034D"/>
    <w:rsid w:val="00E424E0"/>
    <w:rsid w:val="00E443FD"/>
    <w:rsid w:val="00E446AE"/>
    <w:rsid w:val="00E44E65"/>
    <w:rsid w:val="00E45312"/>
    <w:rsid w:val="00E45E5E"/>
    <w:rsid w:val="00E47037"/>
    <w:rsid w:val="00E50D59"/>
    <w:rsid w:val="00E52CE1"/>
    <w:rsid w:val="00E5362F"/>
    <w:rsid w:val="00E5363F"/>
    <w:rsid w:val="00E55431"/>
    <w:rsid w:val="00E56610"/>
    <w:rsid w:val="00E63B01"/>
    <w:rsid w:val="00E646E9"/>
    <w:rsid w:val="00E64B67"/>
    <w:rsid w:val="00E65F5A"/>
    <w:rsid w:val="00E667F4"/>
    <w:rsid w:val="00E6732C"/>
    <w:rsid w:val="00E67974"/>
    <w:rsid w:val="00E70078"/>
    <w:rsid w:val="00E73796"/>
    <w:rsid w:val="00E815BE"/>
    <w:rsid w:val="00E83E48"/>
    <w:rsid w:val="00E8459C"/>
    <w:rsid w:val="00E86ECC"/>
    <w:rsid w:val="00E95C83"/>
    <w:rsid w:val="00EA3A1D"/>
    <w:rsid w:val="00EA42E6"/>
    <w:rsid w:val="00EA464E"/>
    <w:rsid w:val="00EA7142"/>
    <w:rsid w:val="00EA75F3"/>
    <w:rsid w:val="00EA7A81"/>
    <w:rsid w:val="00EB0B4F"/>
    <w:rsid w:val="00EC4AA8"/>
    <w:rsid w:val="00EC4D8F"/>
    <w:rsid w:val="00EC673C"/>
    <w:rsid w:val="00ED263E"/>
    <w:rsid w:val="00ED2A36"/>
    <w:rsid w:val="00ED30B1"/>
    <w:rsid w:val="00ED6548"/>
    <w:rsid w:val="00ED70DE"/>
    <w:rsid w:val="00ED7D99"/>
    <w:rsid w:val="00EE14B1"/>
    <w:rsid w:val="00EE19FC"/>
    <w:rsid w:val="00EE2450"/>
    <w:rsid w:val="00EE3B0C"/>
    <w:rsid w:val="00EE3D5E"/>
    <w:rsid w:val="00EF2FFC"/>
    <w:rsid w:val="00F009CC"/>
    <w:rsid w:val="00F02490"/>
    <w:rsid w:val="00F04255"/>
    <w:rsid w:val="00F04A20"/>
    <w:rsid w:val="00F05203"/>
    <w:rsid w:val="00F06366"/>
    <w:rsid w:val="00F06866"/>
    <w:rsid w:val="00F10257"/>
    <w:rsid w:val="00F117D0"/>
    <w:rsid w:val="00F1457B"/>
    <w:rsid w:val="00F15A0F"/>
    <w:rsid w:val="00F20990"/>
    <w:rsid w:val="00F2361B"/>
    <w:rsid w:val="00F23D51"/>
    <w:rsid w:val="00F2626D"/>
    <w:rsid w:val="00F2749A"/>
    <w:rsid w:val="00F2798B"/>
    <w:rsid w:val="00F27B4C"/>
    <w:rsid w:val="00F30DD0"/>
    <w:rsid w:val="00F34AD2"/>
    <w:rsid w:val="00F4030B"/>
    <w:rsid w:val="00F40651"/>
    <w:rsid w:val="00F42617"/>
    <w:rsid w:val="00F44D6D"/>
    <w:rsid w:val="00F45AD5"/>
    <w:rsid w:val="00F47F2C"/>
    <w:rsid w:val="00F50E30"/>
    <w:rsid w:val="00F543E6"/>
    <w:rsid w:val="00F54A5F"/>
    <w:rsid w:val="00F63108"/>
    <w:rsid w:val="00F641DA"/>
    <w:rsid w:val="00F64A56"/>
    <w:rsid w:val="00F66F30"/>
    <w:rsid w:val="00F67A64"/>
    <w:rsid w:val="00F70E8A"/>
    <w:rsid w:val="00F725D4"/>
    <w:rsid w:val="00F75EB3"/>
    <w:rsid w:val="00F80227"/>
    <w:rsid w:val="00F8141D"/>
    <w:rsid w:val="00F83421"/>
    <w:rsid w:val="00F84007"/>
    <w:rsid w:val="00F84253"/>
    <w:rsid w:val="00F8532A"/>
    <w:rsid w:val="00F90695"/>
    <w:rsid w:val="00F91EAA"/>
    <w:rsid w:val="00F93233"/>
    <w:rsid w:val="00F93CCE"/>
    <w:rsid w:val="00F93D2F"/>
    <w:rsid w:val="00F95579"/>
    <w:rsid w:val="00F95F3E"/>
    <w:rsid w:val="00F965B0"/>
    <w:rsid w:val="00F971BE"/>
    <w:rsid w:val="00F97F0A"/>
    <w:rsid w:val="00FA17B4"/>
    <w:rsid w:val="00FA4841"/>
    <w:rsid w:val="00FA5EBC"/>
    <w:rsid w:val="00FA61F3"/>
    <w:rsid w:val="00FA69A5"/>
    <w:rsid w:val="00FB2B37"/>
    <w:rsid w:val="00FB32ED"/>
    <w:rsid w:val="00FB5E1D"/>
    <w:rsid w:val="00FB7688"/>
    <w:rsid w:val="00FB7F0E"/>
    <w:rsid w:val="00FC4548"/>
    <w:rsid w:val="00FC478B"/>
    <w:rsid w:val="00FC5B42"/>
    <w:rsid w:val="00FC7ED0"/>
    <w:rsid w:val="00FD064D"/>
    <w:rsid w:val="00FD0ECB"/>
    <w:rsid w:val="00FD13F9"/>
    <w:rsid w:val="00FD19FB"/>
    <w:rsid w:val="00FD1C24"/>
    <w:rsid w:val="00FD25CE"/>
    <w:rsid w:val="00FD298D"/>
    <w:rsid w:val="00FD3616"/>
    <w:rsid w:val="00FD3843"/>
    <w:rsid w:val="00FD3933"/>
    <w:rsid w:val="00FD4E50"/>
    <w:rsid w:val="00FD6E1A"/>
    <w:rsid w:val="00FE12C0"/>
    <w:rsid w:val="00FE1325"/>
    <w:rsid w:val="00FE1876"/>
    <w:rsid w:val="00FE6236"/>
    <w:rsid w:val="00FE62B0"/>
    <w:rsid w:val="00FF0D93"/>
    <w:rsid w:val="00FF1A25"/>
    <w:rsid w:val="00FF2DDB"/>
    <w:rsid w:val="00FF7C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48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0F2"/>
    <w:pPr>
      <w:spacing w:after="0"/>
    </w:pPr>
    <w:rPr>
      <w:rFonts w:ascii="Times New Roman" w:hAnsi="Times New Roman"/>
      <w:lang w:eastAsia="zh-CN"/>
    </w:rPr>
  </w:style>
  <w:style w:type="paragraph" w:styleId="Heading1">
    <w:name w:val="heading 1"/>
    <w:basedOn w:val="Normal"/>
    <w:link w:val="Heading1Char"/>
    <w:uiPriority w:val="9"/>
    <w:qFormat/>
    <w:rsid w:val="00240D54"/>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1442"/>
    <w:pPr>
      <w:spacing w:after="200"/>
    </w:pPr>
    <w:rPr>
      <w:rFonts w:ascii="Lucida Grande" w:hAnsi="Lucida Grande"/>
      <w:sz w:val="18"/>
      <w:szCs w:val="18"/>
      <w:lang w:eastAsia="ja-JP"/>
    </w:rPr>
  </w:style>
  <w:style w:type="paragraph" w:styleId="ListParagraph">
    <w:name w:val="List Paragraph"/>
    <w:basedOn w:val="Normal"/>
    <w:uiPriority w:val="34"/>
    <w:qFormat/>
    <w:rsid w:val="00036F4A"/>
    <w:pPr>
      <w:spacing w:after="200"/>
      <w:ind w:left="720"/>
      <w:contextualSpacing/>
    </w:pPr>
    <w:rPr>
      <w:rFonts w:asciiTheme="minorHAnsi" w:hAnsiTheme="minorHAnsi"/>
      <w:lang w:eastAsia="ja-JP"/>
    </w:rPr>
  </w:style>
  <w:style w:type="character" w:styleId="Hyperlink">
    <w:name w:val="Hyperlink"/>
    <w:basedOn w:val="DefaultParagraphFont"/>
    <w:uiPriority w:val="99"/>
    <w:unhideWhenUsed/>
    <w:rsid w:val="00815A17"/>
    <w:rPr>
      <w:color w:val="0000FF" w:themeColor="hyperlink"/>
      <w:u w:val="single"/>
    </w:rPr>
  </w:style>
  <w:style w:type="paragraph" w:customStyle="1" w:styleId="Default">
    <w:name w:val="Default"/>
    <w:rsid w:val="009228F0"/>
    <w:pPr>
      <w:widowControl w:val="0"/>
      <w:autoSpaceDE w:val="0"/>
      <w:autoSpaceDN w:val="0"/>
      <w:adjustRightInd w:val="0"/>
      <w:spacing w:after="0"/>
    </w:pPr>
    <w:rPr>
      <w:rFonts w:ascii="Garamond" w:hAnsi="Garamond" w:cs="Garamond"/>
      <w:color w:val="000000"/>
    </w:rPr>
  </w:style>
  <w:style w:type="character" w:customStyle="1" w:styleId="apple-converted-space">
    <w:name w:val="apple-converted-space"/>
    <w:basedOn w:val="DefaultParagraphFont"/>
    <w:rsid w:val="0045175A"/>
  </w:style>
  <w:style w:type="paragraph" w:styleId="FootnoteText">
    <w:name w:val="footnote text"/>
    <w:basedOn w:val="Normal"/>
    <w:link w:val="FootnoteTextChar"/>
    <w:uiPriority w:val="99"/>
    <w:unhideWhenUsed/>
    <w:rsid w:val="004D5FD3"/>
    <w:rPr>
      <w:rFonts w:asciiTheme="minorHAnsi" w:hAnsiTheme="minorHAnsi"/>
      <w:lang w:eastAsia="ja-JP"/>
    </w:rPr>
  </w:style>
  <w:style w:type="character" w:customStyle="1" w:styleId="FootnoteTextChar">
    <w:name w:val="Footnote Text Char"/>
    <w:basedOn w:val="DefaultParagraphFont"/>
    <w:link w:val="FootnoteText"/>
    <w:uiPriority w:val="99"/>
    <w:rsid w:val="004D5FD3"/>
    <w:rPr>
      <w:sz w:val="24"/>
      <w:szCs w:val="24"/>
    </w:rPr>
  </w:style>
  <w:style w:type="character" w:styleId="FootnoteReference">
    <w:name w:val="footnote reference"/>
    <w:basedOn w:val="DefaultParagraphFont"/>
    <w:uiPriority w:val="99"/>
    <w:unhideWhenUsed/>
    <w:rsid w:val="004D5FD3"/>
    <w:rPr>
      <w:vertAlign w:val="superscript"/>
    </w:rPr>
  </w:style>
  <w:style w:type="paragraph" w:styleId="Bibliography">
    <w:name w:val="Bibliography"/>
    <w:basedOn w:val="Normal"/>
    <w:next w:val="Normal"/>
    <w:uiPriority w:val="37"/>
    <w:unhideWhenUsed/>
    <w:rsid w:val="004D5FD3"/>
    <w:pPr>
      <w:spacing w:after="200" w:line="276" w:lineRule="auto"/>
    </w:pPr>
    <w:rPr>
      <w:rFonts w:ascii="Calibri" w:eastAsia="Calibri" w:hAnsi="Calibri" w:cs="Times New Roman"/>
      <w:sz w:val="22"/>
      <w:szCs w:val="22"/>
      <w:lang w:val="en-GB" w:eastAsia="en-US"/>
    </w:rPr>
  </w:style>
  <w:style w:type="paragraph" w:styleId="EndnoteText">
    <w:name w:val="endnote text"/>
    <w:basedOn w:val="Normal"/>
    <w:link w:val="EndnoteTextChar"/>
    <w:unhideWhenUsed/>
    <w:rsid w:val="009D530B"/>
    <w:rPr>
      <w:rFonts w:asciiTheme="minorHAnsi" w:eastAsiaTheme="minorHAnsi" w:hAnsiTheme="minorHAnsi"/>
      <w:lang w:eastAsia="en-US"/>
    </w:rPr>
  </w:style>
  <w:style w:type="character" w:customStyle="1" w:styleId="EndnoteTextChar">
    <w:name w:val="Endnote Text Char"/>
    <w:basedOn w:val="DefaultParagraphFont"/>
    <w:link w:val="EndnoteText"/>
    <w:rsid w:val="009D530B"/>
    <w:rPr>
      <w:rFonts w:eastAsiaTheme="minorHAnsi"/>
      <w:sz w:val="24"/>
      <w:szCs w:val="24"/>
      <w:lang w:eastAsia="en-US"/>
    </w:rPr>
  </w:style>
  <w:style w:type="character" w:customStyle="1" w:styleId="Heading1Char">
    <w:name w:val="Heading 1 Char"/>
    <w:basedOn w:val="DefaultParagraphFont"/>
    <w:link w:val="Heading1"/>
    <w:uiPriority w:val="9"/>
    <w:rsid w:val="00240D54"/>
    <w:rPr>
      <w:rFonts w:ascii="Times" w:hAnsi="Times"/>
      <w:b/>
      <w:bCs/>
      <w:kern w:val="36"/>
      <w:sz w:val="48"/>
      <w:szCs w:val="48"/>
      <w:lang w:eastAsia="en-US"/>
    </w:rPr>
  </w:style>
  <w:style w:type="character" w:customStyle="1" w:styleId="aqj">
    <w:name w:val="aqj"/>
    <w:basedOn w:val="DefaultParagraphFont"/>
    <w:rsid w:val="00240D54"/>
  </w:style>
  <w:style w:type="character" w:styleId="EndnoteReference">
    <w:name w:val="endnote reference"/>
    <w:basedOn w:val="DefaultParagraphFont"/>
    <w:uiPriority w:val="99"/>
    <w:semiHidden/>
    <w:unhideWhenUsed/>
    <w:rsid w:val="00495348"/>
    <w:rPr>
      <w:vertAlign w:val="superscript"/>
    </w:rPr>
  </w:style>
  <w:style w:type="character" w:styleId="Emphasis">
    <w:name w:val="Emphasis"/>
    <w:basedOn w:val="DefaultParagraphFont"/>
    <w:uiPriority w:val="20"/>
    <w:qFormat/>
    <w:rsid w:val="00F543E6"/>
    <w:rPr>
      <w:i/>
      <w:iCs/>
    </w:rPr>
  </w:style>
  <w:style w:type="paragraph" w:styleId="Footer">
    <w:name w:val="footer"/>
    <w:basedOn w:val="Normal"/>
    <w:link w:val="FooterChar"/>
    <w:uiPriority w:val="99"/>
    <w:unhideWhenUsed/>
    <w:rsid w:val="000F662F"/>
    <w:pPr>
      <w:tabs>
        <w:tab w:val="center" w:pos="4320"/>
        <w:tab w:val="right" w:pos="8640"/>
      </w:tabs>
    </w:pPr>
    <w:rPr>
      <w:rFonts w:asciiTheme="minorHAnsi" w:hAnsiTheme="minorHAnsi"/>
      <w:lang w:eastAsia="ja-JP"/>
    </w:rPr>
  </w:style>
  <w:style w:type="character" w:customStyle="1" w:styleId="FooterChar">
    <w:name w:val="Footer Char"/>
    <w:basedOn w:val="DefaultParagraphFont"/>
    <w:link w:val="Footer"/>
    <w:uiPriority w:val="99"/>
    <w:rsid w:val="000F662F"/>
    <w:rPr>
      <w:sz w:val="24"/>
      <w:szCs w:val="24"/>
    </w:rPr>
  </w:style>
  <w:style w:type="character" w:styleId="PageNumber">
    <w:name w:val="page number"/>
    <w:basedOn w:val="DefaultParagraphFont"/>
    <w:uiPriority w:val="99"/>
    <w:semiHidden/>
    <w:unhideWhenUsed/>
    <w:rsid w:val="000F662F"/>
  </w:style>
  <w:style w:type="paragraph" w:styleId="BodyText">
    <w:name w:val="Body Text"/>
    <w:basedOn w:val="Normal"/>
    <w:link w:val="BodyTextChar"/>
    <w:uiPriority w:val="1"/>
    <w:qFormat/>
    <w:rsid w:val="00F15A0F"/>
    <w:pPr>
      <w:widowControl w:val="0"/>
      <w:autoSpaceDE w:val="0"/>
      <w:autoSpaceDN w:val="0"/>
      <w:adjustRightInd w:val="0"/>
      <w:ind w:left="9" w:hanging="5"/>
    </w:pPr>
    <w:rPr>
      <w:rFonts w:cs="Times New Roman"/>
      <w:sz w:val="21"/>
      <w:szCs w:val="21"/>
      <w:lang w:eastAsia="ja-JP"/>
    </w:rPr>
  </w:style>
  <w:style w:type="character" w:customStyle="1" w:styleId="BodyTextChar">
    <w:name w:val="Body Text Char"/>
    <w:basedOn w:val="DefaultParagraphFont"/>
    <w:link w:val="BodyText"/>
    <w:uiPriority w:val="1"/>
    <w:rsid w:val="00F15A0F"/>
    <w:rPr>
      <w:rFonts w:ascii="Times New Roman" w:hAnsi="Times New Roman" w:cs="Times New Roman"/>
      <w:sz w:val="21"/>
      <w:szCs w:val="21"/>
    </w:rPr>
  </w:style>
  <w:style w:type="paragraph" w:customStyle="1" w:styleId="p1">
    <w:name w:val="p1"/>
    <w:basedOn w:val="Normal"/>
    <w:rsid w:val="006C5E4D"/>
    <w:rPr>
      <w:rFonts w:ascii="Helvetica" w:hAnsi="Helvetica"/>
      <w:sz w:val="17"/>
      <w:szCs w:val="17"/>
    </w:rPr>
  </w:style>
  <w:style w:type="paragraph" w:customStyle="1" w:styleId="p2">
    <w:name w:val="p2"/>
    <w:basedOn w:val="Normal"/>
    <w:rsid w:val="006C5E4D"/>
    <w:rPr>
      <w:rFonts w:ascii="Helvetica" w:hAnsi="Helvetica"/>
      <w:color w:val="232323"/>
      <w:sz w:val="17"/>
      <w:szCs w:val="17"/>
    </w:rPr>
  </w:style>
  <w:style w:type="character" w:customStyle="1" w:styleId="s1">
    <w:name w:val="s1"/>
    <w:basedOn w:val="DefaultParagraphFont"/>
    <w:rsid w:val="006C5E4D"/>
    <w:rPr>
      <w:color w:val="000000"/>
    </w:rPr>
  </w:style>
  <w:style w:type="character" w:customStyle="1" w:styleId="s2">
    <w:name w:val="s2"/>
    <w:basedOn w:val="DefaultParagraphFont"/>
    <w:rsid w:val="006C5E4D"/>
    <w:rPr>
      <w:color w:val="232323"/>
    </w:rPr>
  </w:style>
  <w:style w:type="paragraph" w:styleId="NormalWeb">
    <w:name w:val="Normal (Web)"/>
    <w:basedOn w:val="Normal"/>
    <w:uiPriority w:val="99"/>
    <w:semiHidden/>
    <w:unhideWhenUsed/>
    <w:rsid w:val="002D30F2"/>
    <w:pPr>
      <w:spacing w:before="100" w:beforeAutospacing="1" w:after="100" w:afterAutospacing="1"/>
    </w:pPr>
    <w:rPr>
      <w:rFonts w:cs="Times New Roman"/>
    </w:rPr>
  </w:style>
  <w:style w:type="character" w:styleId="CommentReference">
    <w:name w:val="annotation reference"/>
    <w:basedOn w:val="DefaultParagraphFont"/>
    <w:uiPriority w:val="99"/>
    <w:semiHidden/>
    <w:unhideWhenUsed/>
    <w:rsid w:val="00C34735"/>
    <w:rPr>
      <w:sz w:val="18"/>
      <w:szCs w:val="18"/>
    </w:rPr>
  </w:style>
  <w:style w:type="paragraph" w:styleId="CommentText">
    <w:name w:val="annotation text"/>
    <w:basedOn w:val="Normal"/>
    <w:link w:val="CommentTextChar"/>
    <w:uiPriority w:val="99"/>
    <w:semiHidden/>
    <w:unhideWhenUsed/>
    <w:rsid w:val="00C34735"/>
  </w:style>
  <w:style w:type="character" w:customStyle="1" w:styleId="CommentTextChar">
    <w:name w:val="Comment Text Char"/>
    <w:basedOn w:val="DefaultParagraphFont"/>
    <w:link w:val="CommentText"/>
    <w:uiPriority w:val="99"/>
    <w:semiHidden/>
    <w:rsid w:val="00C34735"/>
    <w:rPr>
      <w:rFonts w:ascii="Times New Roman" w:hAnsi="Times New Roman"/>
      <w:lang w:eastAsia="zh-CN"/>
    </w:rPr>
  </w:style>
  <w:style w:type="paragraph" w:styleId="CommentSubject">
    <w:name w:val="annotation subject"/>
    <w:basedOn w:val="CommentText"/>
    <w:next w:val="CommentText"/>
    <w:link w:val="CommentSubjectChar"/>
    <w:uiPriority w:val="99"/>
    <w:semiHidden/>
    <w:unhideWhenUsed/>
    <w:rsid w:val="00C34735"/>
    <w:rPr>
      <w:b/>
      <w:bCs/>
      <w:sz w:val="20"/>
      <w:szCs w:val="20"/>
    </w:rPr>
  </w:style>
  <w:style w:type="character" w:customStyle="1" w:styleId="CommentSubjectChar">
    <w:name w:val="Comment Subject Char"/>
    <w:basedOn w:val="CommentTextChar"/>
    <w:link w:val="CommentSubject"/>
    <w:uiPriority w:val="99"/>
    <w:semiHidden/>
    <w:rsid w:val="00C34735"/>
    <w:rPr>
      <w:rFonts w:ascii="Times New Roman" w:hAnsi="Times New Roman"/>
      <w:b/>
      <w:bCs/>
      <w:sz w:val="20"/>
      <w:szCs w:val="20"/>
      <w:lang w:eastAsia="zh-CN"/>
    </w:rPr>
  </w:style>
  <w:style w:type="paragraph" w:styleId="Revision">
    <w:name w:val="Revision"/>
    <w:hidden/>
    <w:uiPriority w:val="99"/>
    <w:semiHidden/>
    <w:rsid w:val="009844B7"/>
    <w:pPr>
      <w:spacing w:after="0"/>
    </w:pPr>
    <w:rPr>
      <w:rFonts w:ascii="Times New Roman" w:hAnsi="Times New Roman"/>
      <w:lang w:eastAsia="zh-CN"/>
    </w:rPr>
  </w:style>
  <w:style w:type="character" w:customStyle="1" w:styleId="current-selection">
    <w:name w:val="current-selection"/>
    <w:basedOn w:val="DefaultParagraphFont"/>
    <w:rsid w:val="00320B27"/>
  </w:style>
  <w:style w:type="character" w:styleId="UnresolvedMention">
    <w:name w:val="Unresolved Mention"/>
    <w:basedOn w:val="DefaultParagraphFont"/>
    <w:uiPriority w:val="99"/>
    <w:rsid w:val="001869D6"/>
    <w:rPr>
      <w:color w:val="605E5C"/>
      <w:shd w:val="clear" w:color="auto" w:fill="E1DFDD"/>
    </w:rPr>
  </w:style>
  <w:style w:type="character" w:styleId="FollowedHyperlink">
    <w:name w:val="FollowedHyperlink"/>
    <w:basedOn w:val="DefaultParagraphFont"/>
    <w:uiPriority w:val="99"/>
    <w:semiHidden/>
    <w:unhideWhenUsed/>
    <w:rsid w:val="00E55431"/>
    <w:rPr>
      <w:color w:val="800080" w:themeColor="followedHyperlink"/>
      <w:u w:val="single"/>
    </w:rPr>
  </w:style>
  <w:style w:type="paragraph" w:styleId="NoSpacing">
    <w:name w:val="No Spacing"/>
    <w:qFormat/>
    <w:rsid w:val="00C20E07"/>
    <w:pPr>
      <w:pBdr>
        <w:top w:val="nil"/>
        <w:left w:val="nil"/>
        <w:bottom w:val="nil"/>
        <w:right w:val="nil"/>
        <w:between w:val="nil"/>
        <w:bar w:val="nil"/>
      </w:pBdr>
      <w:spacing w:after="0"/>
    </w:pPr>
    <w:rPr>
      <w:rFonts w:ascii="Times New Roman" w:eastAsia="Arial Unicode MS" w:hAnsi="Times New Roman" w:cs="Arial Unicode MS"/>
      <w:color w:val="000000"/>
      <w:u w:color="000000"/>
      <w:bdr w:val="nil"/>
      <w:lang w:eastAsia="en-US"/>
    </w:rPr>
  </w:style>
  <w:style w:type="paragraph" w:customStyle="1" w:styleId="contributor">
    <w:name w:val="contributor"/>
    <w:basedOn w:val="Normal"/>
    <w:rsid w:val="000B4081"/>
    <w:pPr>
      <w:spacing w:before="100" w:beforeAutospacing="1" w:after="100" w:afterAutospacing="1"/>
    </w:pPr>
    <w:rPr>
      <w:rFonts w:eastAsia="Times New Roman" w:cs="Times New Roman"/>
    </w:rPr>
  </w:style>
  <w:style w:type="character" w:customStyle="1" w:styleId="name">
    <w:name w:val="name"/>
    <w:basedOn w:val="DefaultParagraphFont"/>
    <w:rsid w:val="000B4081"/>
  </w:style>
  <w:style w:type="character" w:customStyle="1" w:styleId="title">
    <w:name w:val="title"/>
    <w:basedOn w:val="DefaultParagraphFont"/>
    <w:rsid w:val="000B4081"/>
  </w:style>
  <w:style w:type="character" w:customStyle="1" w:styleId="xref-sep">
    <w:name w:val="xref-sep"/>
    <w:basedOn w:val="DefaultParagraphFont"/>
    <w:rsid w:val="000B4081"/>
  </w:style>
  <w:style w:type="paragraph" w:customStyle="1" w:styleId="last">
    <w:name w:val="last"/>
    <w:basedOn w:val="Normal"/>
    <w:rsid w:val="000B408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1265">
      <w:bodyDiv w:val="1"/>
      <w:marLeft w:val="0"/>
      <w:marRight w:val="0"/>
      <w:marTop w:val="0"/>
      <w:marBottom w:val="0"/>
      <w:divBdr>
        <w:top w:val="none" w:sz="0" w:space="0" w:color="auto"/>
        <w:left w:val="none" w:sz="0" w:space="0" w:color="auto"/>
        <w:bottom w:val="none" w:sz="0" w:space="0" w:color="auto"/>
        <w:right w:val="none" w:sz="0" w:space="0" w:color="auto"/>
      </w:divBdr>
    </w:div>
    <w:div w:id="225996491">
      <w:bodyDiv w:val="1"/>
      <w:marLeft w:val="0"/>
      <w:marRight w:val="0"/>
      <w:marTop w:val="0"/>
      <w:marBottom w:val="0"/>
      <w:divBdr>
        <w:top w:val="none" w:sz="0" w:space="0" w:color="auto"/>
        <w:left w:val="none" w:sz="0" w:space="0" w:color="auto"/>
        <w:bottom w:val="none" w:sz="0" w:space="0" w:color="auto"/>
        <w:right w:val="none" w:sz="0" w:space="0" w:color="auto"/>
      </w:divBdr>
    </w:div>
    <w:div w:id="230970499">
      <w:bodyDiv w:val="1"/>
      <w:marLeft w:val="0"/>
      <w:marRight w:val="0"/>
      <w:marTop w:val="0"/>
      <w:marBottom w:val="0"/>
      <w:divBdr>
        <w:top w:val="none" w:sz="0" w:space="0" w:color="auto"/>
        <w:left w:val="none" w:sz="0" w:space="0" w:color="auto"/>
        <w:bottom w:val="none" w:sz="0" w:space="0" w:color="auto"/>
        <w:right w:val="none" w:sz="0" w:space="0" w:color="auto"/>
      </w:divBdr>
    </w:div>
    <w:div w:id="248778570">
      <w:bodyDiv w:val="1"/>
      <w:marLeft w:val="0"/>
      <w:marRight w:val="0"/>
      <w:marTop w:val="0"/>
      <w:marBottom w:val="0"/>
      <w:divBdr>
        <w:top w:val="none" w:sz="0" w:space="0" w:color="auto"/>
        <w:left w:val="none" w:sz="0" w:space="0" w:color="auto"/>
        <w:bottom w:val="none" w:sz="0" w:space="0" w:color="auto"/>
        <w:right w:val="none" w:sz="0" w:space="0" w:color="auto"/>
      </w:divBdr>
      <w:divsChild>
        <w:div w:id="151026621">
          <w:marLeft w:val="0"/>
          <w:marRight w:val="0"/>
          <w:marTop w:val="0"/>
          <w:marBottom w:val="0"/>
          <w:divBdr>
            <w:top w:val="none" w:sz="0" w:space="0" w:color="auto"/>
            <w:left w:val="none" w:sz="0" w:space="0" w:color="auto"/>
            <w:bottom w:val="none" w:sz="0" w:space="0" w:color="auto"/>
            <w:right w:val="none" w:sz="0" w:space="0" w:color="auto"/>
          </w:divBdr>
        </w:div>
        <w:div w:id="739794843">
          <w:marLeft w:val="0"/>
          <w:marRight w:val="0"/>
          <w:marTop w:val="0"/>
          <w:marBottom w:val="0"/>
          <w:divBdr>
            <w:top w:val="none" w:sz="0" w:space="0" w:color="auto"/>
            <w:left w:val="none" w:sz="0" w:space="0" w:color="auto"/>
            <w:bottom w:val="none" w:sz="0" w:space="0" w:color="auto"/>
            <w:right w:val="none" w:sz="0" w:space="0" w:color="auto"/>
          </w:divBdr>
        </w:div>
        <w:div w:id="1728146507">
          <w:marLeft w:val="0"/>
          <w:marRight w:val="0"/>
          <w:marTop w:val="0"/>
          <w:marBottom w:val="0"/>
          <w:divBdr>
            <w:top w:val="none" w:sz="0" w:space="0" w:color="auto"/>
            <w:left w:val="none" w:sz="0" w:space="0" w:color="auto"/>
            <w:bottom w:val="none" w:sz="0" w:space="0" w:color="auto"/>
            <w:right w:val="none" w:sz="0" w:space="0" w:color="auto"/>
          </w:divBdr>
        </w:div>
      </w:divsChild>
    </w:div>
    <w:div w:id="249969311">
      <w:bodyDiv w:val="1"/>
      <w:marLeft w:val="0"/>
      <w:marRight w:val="0"/>
      <w:marTop w:val="0"/>
      <w:marBottom w:val="0"/>
      <w:divBdr>
        <w:top w:val="none" w:sz="0" w:space="0" w:color="auto"/>
        <w:left w:val="none" w:sz="0" w:space="0" w:color="auto"/>
        <w:bottom w:val="none" w:sz="0" w:space="0" w:color="auto"/>
        <w:right w:val="none" w:sz="0" w:space="0" w:color="auto"/>
      </w:divBdr>
    </w:div>
    <w:div w:id="322127335">
      <w:bodyDiv w:val="1"/>
      <w:marLeft w:val="0"/>
      <w:marRight w:val="0"/>
      <w:marTop w:val="0"/>
      <w:marBottom w:val="0"/>
      <w:divBdr>
        <w:top w:val="none" w:sz="0" w:space="0" w:color="auto"/>
        <w:left w:val="none" w:sz="0" w:space="0" w:color="auto"/>
        <w:bottom w:val="none" w:sz="0" w:space="0" w:color="auto"/>
        <w:right w:val="none" w:sz="0" w:space="0" w:color="auto"/>
      </w:divBdr>
    </w:div>
    <w:div w:id="362100753">
      <w:bodyDiv w:val="1"/>
      <w:marLeft w:val="0"/>
      <w:marRight w:val="0"/>
      <w:marTop w:val="0"/>
      <w:marBottom w:val="0"/>
      <w:divBdr>
        <w:top w:val="none" w:sz="0" w:space="0" w:color="auto"/>
        <w:left w:val="none" w:sz="0" w:space="0" w:color="auto"/>
        <w:bottom w:val="none" w:sz="0" w:space="0" w:color="auto"/>
        <w:right w:val="none" w:sz="0" w:space="0" w:color="auto"/>
      </w:divBdr>
    </w:div>
    <w:div w:id="386073410">
      <w:bodyDiv w:val="1"/>
      <w:marLeft w:val="0"/>
      <w:marRight w:val="0"/>
      <w:marTop w:val="0"/>
      <w:marBottom w:val="0"/>
      <w:divBdr>
        <w:top w:val="none" w:sz="0" w:space="0" w:color="auto"/>
        <w:left w:val="none" w:sz="0" w:space="0" w:color="auto"/>
        <w:bottom w:val="none" w:sz="0" w:space="0" w:color="auto"/>
        <w:right w:val="none" w:sz="0" w:space="0" w:color="auto"/>
      </w:divBdr>
    </w:div>
    <w:div w:id="457144202">
      <w:bodyDiv w:val="1"/>
      <w:marLeft w:val="0"/>
      <w:marRight w:val="0"/>
      <w:marTop w:val="0"/>
      <w:marBottom w:val="0"/>
      <w:divBdr>
        <w:top w:val="none" w:sz="0" w:space="0" w:color="auto"/>
        <w:left w:val="none" w:sz="0" w:space="0" w:color="auto"/>
        <w:bottom w:val="none" w:sz="0" w:space="0" w:color="auto"/>
        <w:right w:val="none" w:sz="0" w:space="0" w:color="auto"/>
      </w:divBdr>
    </w:div>
    <w:div w:id="468983796">
      <w:bodyDiv w:val="1"/>
      <w:marLeft w:val="0"/>
      <w:marRight w:val="0"/>
      <w:marTop w:val="0"/>
      <w:marBottom w:val="0"/>
      <w:divBdr>
        <w:top w:val="none" w:sz="0" w:space="0" w:color="auto"/>
        <w:left w:val="none" w:sz="0" w:space="0" w:color="auto"/>
        <w:bottom w:val="none" w:sz="0" w:space="0" w:color="auto"/>
        <w:right w:val="none" w:sz="0" w:space="0" w:color="auto"/>
      </w:divBdr>
    </w:div>
    <w:div w:id="482816344">
      <w:bodyDiv w:val="1"/>
      <w:marLeft w:val="0"/>
      <w:marRight w:val="0"/>
      <w:marTop w:val="0"/>
      <w:marBottom w:val="0"/>
      <w:divBdr>
        <w:top w:val="none" w:sz="0" w:space="0" w:color="auto"/>
        <w:left w:val="none" w:sz="0" w:space="0" w:color="auto"/>
        <w:bottom w:val="none" w:sz="0" w:space="0" w:color="auto"/>
        <w:right w:val="none" w:sz="0" w:space="0" w:color="auto"/>
      </w:divBdr>
    </w:div>
    <w:div w:id="564687953">
      <w:bodyDiv w:val="1"/>
      <w:marLeft w:val="0"/>
      <w:marRight w:val="0"/>
      <w:marTop w:val="0"/>
      <w:marBottom w:val="0"/>
      <w:divBdr>
        <w:top w:val="none" w:sz="0" w:space="0" w:color="auto"/>
        <w:left w:val="none" w:sz="0" w:space="0" w:color="auto"/>
        <w:bottom w:val="none" w:sz="0" w:space="0" w:color="auto"/>
        <w:right w:val="none" w:sz="0" w:space="0" w:color="auto"/>
      </w:divBdr>
      <w:divsChild>
        <w:div w:id="884680798">
          <w:marLeft w:val="0"/>
          <w:marRight w:val="0"/>
          <w:marTop w:val="0"/>
          <w:marBottom w:val="0"/>
          <w:divBdr>
            <w:top w:val="none" w:sz="0" w:space="0" w:color="auto"/>
            <w:left w:val="none" w:sz="0" w:space="0" w:color="auto"/>
            <w:bottom w:val="none" w:sz="0" w:space="0" w:color="auto"/>
            <w:right w:val="none" w:sz="0" w:space="0" w:color="auto"/>
          </w:divBdr>
          <w:divsChild>
            <w:div w:id="18890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6665">
      <w:bodyDiv w:val="1"/>
      <w:marLeft w:val="0"/>
      <w:marRight w:val="0"/>
      <w:marTop w:val="0"/>
      <w:marBottom w:val="0"/>
      <w:divBdr>
        <w:top w:val="none" w:sz="0" w:space="0" w:color="auto"/>
        <w:left w:val="none" w:sz="0" w:space="0" w:color="auto"/>
        <w:bottom w:val="none" w:sz="0" w:space="0" w:color="auto"/>
        <w:right w:val="none" w:sz="0" w:space="0" w:color="auto"/>
      </w:divBdr>
      <w:divsChild>
        <w:div w:id="555358290">
          <w:marLeft w:val="0"/>
          <w:marRight w:val="0"/>
          <w:marTop w:val="0"/>
          <w:marBottom w:val="0"/>
          <w:divBdr>
            <w:top w:val="none" w:sz="0" w:space="0" w:color="auto"/>
            <w:left w:val="none" w:sz="0" w:space="0" w:color="auto"/>
            <w:bottom w:val="none" w:sz="0" w:space="0" w:color="auto"/>
            <w:right w:val="none" w:sz="0" w:space="0" w:color="auto"/>
          </w:divBdr>
          <w:divsChild>
            <w:div w:id="271015502">
              <w:marLeft w:val="0"/>
              <w:marRight w:val="0"/>
              <w:marTop w:val="0"/>
              <w:marBottom w:val="0"/>
              <w:divBdr>
                <w:top w:val="none" w:sz="0" w:space="0" w:color="auto"/>
                <w:left w:val="none" w:sz="0" w:space="0" w:color="auto"/>
                <w:bottom w:val="none" w:sz="0" w:space="0" w:color="auto"/>
                <w:right w:val="none" w:sz="0" w:space="0" w:color="auto"/>
              </w:divBdr>
            </w:div>
            <w:div w:id="1523468486">
              <w:marLeft w:val="0"/>
              <w:marRight w:val="0"/>
              <w:marTop w:val="0"/>
              <w:marBottom w:val="0"/>
              <w:divBdr>
                <w:top w:val="none" w:sz="0" w:space="0" w:color="auto"/>
                <w:left w:val="none" w:sz="0" w:space="0" w:color="auto"/>
                <w:bottom w:val="none" w:sz="0" w:space="0" w:color="auto"/>
                <w:right w:val="none" w:sz="0" w:space="0" w:color="auto"/>
              </w:divBdr>
            </w:div>
            <w:div w:id="1653174057">
              <w:marLeft w:val="0"/>
              <w:marRight w:val="0"/>
              <w:marTop w:val="0"/>
              <w:marBottom w:val="0"/>
              <w:divBdr>
                <w:top w:val="none" w:sz="0" w:space="0" w:color="auto"/>
                <w:left w:val="none" w:sz="0" w:space="0" w:color="auto"/>
                <w:bottom w:val="none" w:sz="0" w:space="0" w:color="auto"/>
                <w:right w:val="none" w:sz="0" w:space="0" w:color="auto"/>
              </w:divBdr>
            </w:div>
            <w:div w:id="19067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2019">
      <w:bodyDiv w:val="1"/>
      <w:marLeft w:val="0"/>
      <w:marRight w:val="0"/>
      <w:marTop w:val="0"/>
      <w:marBottom w:val="0"/>
      <w:divBdr>
        <w:top w:val="none" w:sz="0" w:space="0" w:color="auto"/>
        <w:left w:val="none" w:sz="0" w:space="0" w:color="auto"/>
        <w:bottom w:val="none" w:sz="0" w:space="0" w:color="auto"/>
        <w:right w:val="none" w:sz="0" w:space="0" w:color="auto"/>
      </w:divBdr>
    </w:div>
    <w:div w:id="929659860">
      <w:bodyDiv w:val="1"/>
      <w:marLeft w:val="0"/>
      <w:marRight w:val="0"/>
      <w:marTop w:val="0"/>
      <w:marBottom w:val="0"/>
      <w:divBdr>
        <w:top w:val="none" w:sz="0" w:space="0" w:color="auto"/>
        <w:left w:val="none" w:sz="0" w:space="0" w:color="auto"/>
        <w:bottom w:val="none" w:sz="0" w:space="0" w:color="auto"/>
        <w:right w:val="none" w:sz="0" w:space="0" w:color="auto"/>
      </w:divBdr>
    </w:div>
    <w:div w:id="930087633">
      <w:bodyDiv w:val="1"/>
      <w:marLeft w:val="0"/>
      <w:marRight w:val="0"/>
      <w:marTop w:val="0"/>
      <w:marBottom w:val="0"/>
      <w:divBdr>
        <w:top w:val="none" w:sz="0" w:space="0" w:color="auto"/>
        <w:left w:val="none" w:sz="0" w:space="0" w:color="auto"/>
        <w:bottom w:val="none" w:sz="0" w:space="0" w:color="auto"/>
        <w:right w:val="none" w:sz="0" w:space="0" w:color="auto"/>
      </w:divBdr>
    </w:div>
    <w:div w:id="961885429">
      <w:bodyDiv w:val="1"/>
      <w:marLeft w:val="0"/>
      <w:marRight w:val="0"/>
      <w:marTop w:val="0"/>
      <w:marBottom w:val="0"/>
      <w:divBdr>
        <w:top w:val="none" w:sz="0" w:space="0" w:color="auto"/>
        <w:left w:val="none" w:sz="0" w:space="0" w:color="auto"/>
        <w:bottom w:val="none" w:sz="0" w:space="0" w:color="auto"/>
        <w:right w:val="none" w:sz="0" w:space="0" w:color="auto"/>
      </w:divBdr>
    </w:div>
    <w:div w:id="974023548">
      <w:bodyDiv w:val="1"/>
      <w:marLeft w:val="0"/>
      <w:marRight w:val="0"/>
      <w:marTop w:val="0"/>
      <w:marBottom w:val="0"/>
      <w:divBdr>
        <w:top w:val="none" w:sz="0" w:space="0" w:color="auto"/>
        <w:left w:val="none" w:sz="0" w:space="0" w:color="auto"/>
        <w:bottom w:val="none" w:sz="0" w:space="0" w:color="auto"/>
        <w:right w:val="none" w:sz="0" w:space="0" w:color="auto"/>
      </w:divBdr>
    </w:div>
    <w:div w:id="1045176508">
      <w:bodyDiv w:val="1"/>
      <w:marLeft w:val="0"/>
      <w:marRight w:val="0"/>
      <w:marTop w:val="0"/>
      <w:marBottom w:val="0"/>
      <w:divBdr>
        <w:top w:val="none" w:sz="0" w:space="0" w:color="auto"/>
        <w:left w:val="none" w:sz="0" w:space="0" w:color="auto"/>
        <w:bottom w:val="none" w:sz="0" w:space="0" w:color="auto"/>
        <w:right w:val="none" w:sz="0" w:space="0" w:color="auto"/>
      </w:divBdr>
    </w:div>
    <w:div w:id="1147740284">
      <w:bodyDiv w:val="1"/>
      <w:marLeft w:val="0"/>
      <w:marRight w:val="0"/>
      <w:marTop w:val="0"/>
      <w:marBottom w:val="0"/>
      <w:divBdr>
        <w:top w:val="none" w:sz="0" w:space="0" w:color="auto"/>
        <w:left w:val="none" w:sz="0" w:space="0" w:color="auto"/>
        <w:bottom w:val="none" w:sz="0" w:space="0" w:color="auto"/>
        <w:right w:val="none" w:sz="0" w:space="0" w:color="auto"/>
      </w:divBdr>
    </w:div>
    <w:div w:id="1193693147">
      <w:bodyDiv w:val="1"/>
      <w:marLeft w:val="0"/>
      <w:marRight w:val="0"/>
      <w:marTop w:val="0"/>
      <w:marBottom w:val="0"/>
      <w:divBdr>
        <w:top w:val="none" w:sz="0" w:space="0" w:color="auto"/>
        <w:left w:val="none" w:sz="0" w:space="0" w:color="auto"/>
        <w:bottom w:val="none" w:sz="0" w:space="0" w:color="auto"/>
        <w:right w:val="none" w:sz="0" w:space="0" w:color="auto"/>
      </w:divBdr>
      <w:divsChild>
        <w:div w:id="1160928147">
          <w:marLeft w:val="0"/>
          <w:marRight w:val="0"/>
          <w:marTop w:val="0"/>
          <w:marBottom w:val="75"/>
          <w:divBdr>
            <w:top w:val="none" w:sz="0" w:space="0" w:color="auto"/>
            <w:left w:val="none" w:sz="0" w:space="0" w:color="auto"/>
            <w:bottom w:val="none" w:sz="0" w:space="0" w:color="auto"/>
            <w:right w:val="none" w:sz="0" w:space="0" w:color="auto"/>
          </w:divBdr>
          <w:divsChild>
            <w:div w:id="491484674">
              <w:marLeft w:val="0"/>
              <w:marRight w:val="0"/>
              <w:marTop w:val="0"/>
              <w:marBottom w:val="0"/>
              <w:divBdr>
                <w:top w:val="none" w:sz="0" w:space="0" w:color="auto"/>
                <w:left w:val="none" w:sz="0" w:space="0" w:color="auto"/>
                <w:bottom w:val="none" w:sz="0" w:space="0" w:color="auto"/>
                <w:right w:val="none" w:sz="0" w:space="0" w:color="auto"/>
              </w:divBdr>
            </w:div>
            <w:div w:id="819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795">
      <w:bodyDiv w:val="1"/>
      <w:marLeft w:val="0"/>
      <w:marRight w:val="0"/>
      <w:marTop w:val="0"/>
      <w:marBottom w:val="0"/>
      <w:divBdr>
        <w:top w:val="none" w:sz="0" w:space="0" w:color="auto"/>
        <w:left w:val="none" w:sz="0" w:space="0" w:color="auto"/>
        <w:bottom w:val="none" w:sz="0" w:space="0" w:color="auto"/>
        <w:right w:val="none" w:sz="0" w:space="0" w:color="auto"/>
      </w:divBdr>
    </w:div>
    <w:div w:id="1293436675">
      <w:bodyDiv w:val="1"/>
      <w:marLeft w:val="0"/>
      <w:marRight w:val="0"/>
      <w:marTop w:val="0"/>
      <w:marBottom w:val="0"/>
      <w:divBdr>
        <w:top w:val="none" w:sz="0" w:space="0" w:color="auto"/>
        <w:left w:val="none" w:sz="0" w:space="0" w:color="auto"/>
        <w:bottom w:val="none" w:sz="0" w:space="0" w:color="auto"/>
        <w:right w:val="none" w:sz="0" w:space="0" w:color="auto"/>
      </w:divBdr>
    </w:div>
    <w:div w:id="1311980882">
      <w:bodyDiv w:val="1"/>
      <w:marLeft w:val="0"/>
      <w:marRight w:val="0"/>
      <w:marTop w:val="0"/>
      <w:marBottom w:val="0"/>
      <w:divBdr>
        <w:top w:val="none" w:sz="0" w:space="0" w:color="auto"/>
        <w:left w:val="none" w:sz="0" w:space="0" w:color="auto"/>
        <w:bottom w:val="none" w:sz="0" w:space="0" w:color="auto"/>
        <w:right w:val="none" w:sz="0" w:space="0" w:color="auto"/>
      </w:divBdr>
    </w:div>
    <w:div w:id="1316177188">
      <w:bodyDiv w:val="1"/>
      <w:marLeft w:val="0"/>
      <w:marRight w:val="0"/>
      <w:marTop w:val="0"/>
      <w:marBottom w:val="0"/>
      <w:divBdr>
        <w:top w:val="none" w:sz="0" w:space="0" w:color="auto"/>
        <w:left w:val="none" w:sz="0" w:space="0" w:color="auto"/>
        <w:bottom w:val="none" w:sz="0" w:space="0" w:color="auto"/>
        <w:right w:val="none" w:sz="0" w:space="0" w:color="auto"/>
      </w:divBdr>
    </w:div>
    <w:div w:id="1457794599">
      <w:bodyDiv w:val="1"/>
      <w:marLeft w:val="0"/>
      <w:marRight w:val="0"/>
      <w:marTop w:val="0"/>
      <w:marBottom w:val="0"/>
      <w:divBdr>
        <w:top w:val="none" w:sz="0" w:space="0" w:color="auto"/>
        <w:left w:val="none" w:sz="0" w:space="0" w:color="auto"/>
        <w:bottom w:val="none" w:sz="0" w:space="0" w:color="auto"/>
        <w:right w:val="none" w:sz="0" w:space="0" w:color="auto"/>
      </w:divBdr>
    </w:div>
    <w:div w:id="1482427235">
      <w:bodyDiv w:val="1"/>
      <w:marLeft w:val="0"/>
      <w:marRight w:val="0"/>
      <w:marTop w:val="0"/>
      <w:marBottom w:val="0"/>
      <w:divBdr>
        <w:top w:val="none" w:sz="0" w:space="0" w:color="auto"/>
        <w:left w:val="none" w:sz="0" w:space="0" w:color="auto"/>
        <w:bottom w:val="none" w:sz="0" w:space="0" w:color="auto"/>
        <w:right w:val="none" w:sz="0" w:space="0" w:color="auto"/>
      </w:divBdr>
      <w:divsChild>
        <w:div w:id="165749816">
          <w:marLeft w:val="0"/>
          <w:marRight w:val="0"/>
          <w:marTop w:val="0"/>
          <w:marBottom w:val="0"/>
          <w:divBdr>
            <w:top w:val="none" w:sz="0" w:space="0" w:color="auto"/>
            <w:left w:val="none" w:sz="0" w:space="0" w:color="auto"/>
            <w:bottom w:val="none" w:sz="0" w:space="0" w:color="auto"/>
            <w:right w:val="none" w:sz="0" w:space="0" w:color="auto"/>
          </w:divBdr>
        </w:div>
        <w:div w:id="967055325">
          <w:marLeft w:val="0"/>
          <w:marRight w:val="0"/>
          <w:marTop w:val="0"/>
          <w:marBottom w:val="0"/>
          <w:divBdr>
            <w:top w:val="none" w:sz="0" w:space="0" w:color="auto"/>
            <w:left w:val="none" w:sz="0" w:space="0" w:color="auto"/>
            <w:bottom w:val="none" w:sz="0" w:space="0" w:color="auto"/>
            <w:right w:val="none" w:sz="0" w:space="0" w:color="auto"/>
          </w:divBdr>
        </w:div>
        <w:div w:id="1024595027">
          <w:marLeft w:val="0"/>
          <w:marRight w:val="0"/>
          <w:marTop w:val="0"/>
          <w:marBottom w:val="0"/>
          <w:divBdr>
            <w:top w:val="none" w:sz="0" w:space="0" w:color="auto"/>
            <w:left w:val="none" w:sz="0" w:space="0" w:color="auto"/>
            <w:bottom w:val="none" w:sz="0" w:space="0" w:color="auto"/>
            <w:right w:val="none" w:sz="0" w:space="0" w:color="auto"/>
          </w:divBdr>
        </w:div>
        <w:div w:id="1032879389">
          <w:marLeft w:val="0"/>
          <w:marRight w:val="0"/>
          <w:marTop w:val="0"/>
          <w:marBottom w:val="0"/>
          <w:divBdr>
            <w:top w:val="none" w:sz="0" w:space="0" w:color="auto"/>
            <w:left w:val="none" w:sz="0" w:space="0" w:color="auto"/>
            <w:bottom w:val="none" w:sz="0" w:space="0" w:color="auto"/>
            <w:right w:val="none" w:sz="0" w:space="0" w:color="auto"/>
          </w:divBdr>
        </w:div>
        <w:div w:id="1134904696">
          <w:marLeft w:val="0"/>
          <w:marRight w:val="0"/>
          <w:marTop w:val="0"/>
          <w:marBottom w:val="0"/>
          <w:divBdr>
            <w:top w:val="none" w:sz="0" w:space="0" w:color="auto"/>
            <w:left w:val="none" w:sz="0" w:space="0" w:color="auto"/>
            <w:bottom w:val="none" w:sz="0" w:space="0" w:color="auto"/>
            <w:right w:val="none" w:sz="0" w:space="0" w:color="auto"/>
          </w:divBdr>
        </w:div>
        <w:div w:id="1171412126">
          <w:marLeft w:val="0"/>
          <w:marRight w:val="0"/>
          <w:marTop w:val="0"/>
          <w:marBottom w:val="0"/>
          <w:divBdr>
            <w:top w:val="none" w:sz="0" w:space="0" w:color="auto"/>
            <w:left w:val="none" w:sz="0" w:space="0" w:color="auto"/>
            <w:bottom w:val="none" w:sz="0" w:space="0" w:color="auto"/>
            <w:right w:val="none" w:sz="0" w:space="0" w:color="auto"/>
          </w:divBdr>
        </w:div>
        <w:div w:id="1544176510">
          <w:marLeft w:val="0"/>
          <w:marRight w:val="0"/>
          <w:marTop w:val="0"/>
          <w:marBottom w:val="0"/>
          <w:divBdr>
            <w:top w:val="none" w:sz="0" w:space="0" w:color="auto"/>
            <w:left w:val="none" w:sz="0" w:space="0" w:color="auto"/>
            <w:bottom w:val="none" w:sz="0" w:space="0" w:color="auto"/>
            <w:right w:val="none" w:sz="0" w:space="0" w:color="auto"/>
          </w:divBdr>
        </w:div>
        <w:div w:id="1602376578">
          <w:marLeft w:val="0"/>
          <w:marRight w:val="0"/>
          <w:marTop w:val="0"/>
          <w:marBottom w:val="0"/>
          <w:divBdr>
            <w:top w:val="none" w:sz="0" w:space="0" w:color="auto"/>
            <w:left w:val="none" w:sz="0" w:space="0" w:color="auto"/>
            <w:bottom w:val="none" w:sz="0" w:space="0" w:color="auto"/>
            <w:right w:val="none" w:sz="0" w:space="0" w:color="auto"/>
          </w:divBdr>
        </w:div>
        <w:div w:id="1669597803">
          <w:marLeft w:val="0"/>
          <w:marRight w:val="0"/>
          <w:marTop w:val="0"/>
          <w:marBottom w:val="0"/>
          <w:divBdr>
            <w:top w:val="none" w:sz="0" w:space="0" w:color="auto"/>
            <w:left w:val="none" w:sz="0" w:space="0" w:color="auto"/>
            <w:bottom w:val="none" w:sz="0" w:space="0" w:color="auto"/>
            <w:right w:val="none" w:sz="0" w:space="0" w:color="auto"/>
          </w:divBdr>
        </w:div>
        <w:div w:id="2098360353">
          <w:marLeft w:val="0"/>
          <w:marRight w:val="0"/>
          <w:marTop w:val="0"/>
          <w:marBottom w:val="0"/>
          <w:divBdr>
            <w:top w:val="none" w:sz="0" w:space="0" w:color="auto"/>
            <w:left w:val="none" w:sz="0" w:space="0" w:color="auto"/>
            <w:bottom w:val="none" w:sz="0" w:space="0" w:color="auto"/>
            <w:right w:val="none" w:sz="0" w:space="0" w:color="auto"/>
          </w:divBdr>
        </w:div>
        <w:div w:id="2103262259">
          <w:marLeft w:val="0"/>
          <w:marRight w:val="0"/>
          <w:marTop w:val="0"/>
          <w:marBottom w:val="0"/>
          <w:divBdr>
            <w:top w:val="none" w:sz="0" w:space="0" w:color="auto"/>
            <w:left w:val="none" w:sz="0" w:space="0" w:color="auto"/>
            <w:bottom w:val="none" w:sz="0" w:space="0" w:color="auto"/>
            <w:right w:val="none" w:sz="0" w:space="0" w:color="auto"/>
          </w:divBdr>
        </w:div>
        <w:div w:id="2119983095">
          <w:marLeft w:val="0"/>
          <w:marRight w:val="0"/>
          <w:marTop w:val="0"/>
          <w:marBottom w:val="0"/>
          <w:divBdr>
            <w:top w:val="none" w:sz="0" w:space="0" w:color="auto"/>
            <w:left w:val="none" w:sz="0" w:space="0" w:color="auto"/>
            <w:bottom w:val="none" w:sz="0" w:space="0" w:color="auto"/>
            <w:right w:val="none" w:sz="0" w:space="0" w:color="auto"/>
          </w:divBdr>
        </w:div>
      </w:divsChild>
    </w:div>
    <w:div w:id="1491284923">
      <w:bodyDiv w:val="1"/>
      <w:marLeft w:val="0"/>
      <w:marRight w:val="0"/>
      <w:marTop w:val="0"/>
      <w:marBottom w:val="0"/>
      <w:divBdr>
        <w:top w:val="none" w:sz="0" w:space="0" w:color="auto"/>
        <w:left w:val="none" w:sz="0" w:space="0" w:color="auto"/>
        <w:bottom w:val="none" w:sz="0" w:space="0" w:color="auto"/>
        <w:right w:val="none" w:sz="0" w:space="0" w:color="auto"/>
      </w:divBdr>
    </w:div>
    <w:div w:id="1545482805">
      <w:bodyDiv w:val="1"/>
      <w:marLeft w:val="0"/>
      <w:marRight w:val="0"/>
      <w:marTop w:val="0"/>
      <w:marBottom w:val="0"/>
      <w:divBdr>
        <w:top w:val="none" w:sz="0" w:space="0" w:color="auto"/>
        <w:left w:val="none" w:sz="0" w:space="0" w:color="auto"/>
        <w:bottom w:val="none" w:sz="0" w:space="0" w:color="auto"/>
        <w:right w:val="none" w:sz="0" w:space="0" w:color="auto"/>
      </w:divBdr>
    </w:div>
    <w:div w:id="1579092871">
      <w:bodyDiv w:val="1"/>
      <w:marLeft w:val="0"/>
      <w:marRight w:val="0"/>
      <w:marTop w:val="0"/>
      <w:marBottom w:val="0"/>
      <w:divBdr>
        <w:top w:val="none" w:sz="0" w:space="0" w:color="auto"/>
        <w:left w:val="none" w:sz="0" w:space="0" w:color="auto"/>
        <w:bottom w:val="none" w:sz="0" w:space="0" w:color="auto"/>
        <w:right w:val="none" w:sz="0" w:space="0" w:color="auto"/>
      </w:divBdr>
    </w:div>
    <w:div w:id="1612934770">
      <w:bodyDiv w:val="1"/>
      <w:marLeft w:val="0"/>
      <w:marRight w:val="0"/>
      <w:marTop w:val="0"/>
      <w:marBottom w:val="0"/>
      <w:divBdr>
        <w:top w:val="none" w:sz="0" w:space="0" w:color="auto"/>
        <w:left w:val="none" w:sz="0" w:space="0" w:color="auto"/>
        <w:bottom w:val="none" w:sz="0" w:space="0" w:color="auto"/>
        <w:right w:val="none" w:sz="0" w:space="0" w:color="auto"/>
      </w:divBdr>
    </w:div>
    <w:div w:id="1656840886">
      <w:bodyDiv w:val="1"/>
      <w:marLeft w:val="0"/>
      <w:marRight w:val="0"/>
      <w:marTop w:val="0"/>
      <w:marBottom w:val="0"/>
      <w:divBdr>
        <w:top w:val="none" w:sz="0" w:space="0" w:color="auto"/>
        <w:left w:val="none" w:sz="0" w:space="0" w:color="auto"/>
        <w:bottom w:val="none" w:sz="0" w:space="0" w:color="auto"/>
        <w:right w:val="none" w:sz="0" w:space="0" w:color="auto"/>
      </w:divBdr>
    </w:div>
    <w:div w:id="1677726931">
      <w:bodyDiv w:val="1"/>
      <w:marLeft w:val="0"/>
      <w:marRight w:val="0"/>
      <w:marTop w:val="0"/>
      <w:marBottom w:val="0"/>
      <w:divBdr>
        <w:top w:val="none" w:sz="0" w:space="0" w:color="auto"/>
        <w:left w:val="none" w:sz="0" w:space="0" w:color="auto"/>
        <w:bottom w:val="none" w:sz="0" w:space="0" w:color="auto"/>
        <w:right w:val="none" w:sz="0" w:space="0" w:color="auto"/>
      </w:divBdr>
    </w:div>
    <w:div w:id="1847354606">
      <w:bodyDiv w:val="1"/>
      <w:marLeft w:val="0"/>
      <w:marRight w:val="0"/>
      <w:marTop w:val="0"/>
      <w:marBottom w:val="0"/>
      <w:divBdr>
        <w:top w:val="none" w:sz="0" w:space="0" w:color="auto"/>
        <w:left w:val="none" w:sz="0" w:space="0" w:color="auto"/>
        <w:bottom w:val="none" w:sz="0" w:space="0" w:color="auto"/>
        <w:right w:val="none" w:sz="0" w:space="0" w:color="auto"/>
      </w:divBdr>
      <w:divsChild>
        <w:div w:id="673606502">
          <w:marLeft w:val="0"/>
          <w:marRight w:val="0"/>
          <w:marTop w:val="0"/>
          <w:marBottom w:val="0"/>
          <w:divBdr>
            <w:top w:val="none" w:sz="0" w:space="0" w:color="auto"/>
            <w:left w:val="none" w:sz="0" w:space="0" w:color="auto"/>
            <w:bottom w:val="none" w:sz="0" w:space="0" w:color="auto"/>
            <w:right w:val="none" w:sz="0" w:space="0" w:color="auto"/>
          </w:divBdr>
        </w:div>
        <w:div w:id="745540870">
          <w:marLeft w:val="0"/>
          <w:marRight w:val="0"/>
          <w:marTop w:val="0"/>
          <w:marBottom w:val="0"/>
          <w:divBdr>
            <w:top w:val="none" w:sz="0" w:space="0" w:color="auto"/>
            <w:left w:val="none" w:sz="0" w:space="0" w:color="auto"/>
            <w:bottom w:val="none" w:sz="0" w:space="0" w:color="auto"/>
            <w:right w:val="none" w:sz="0" w:space="0" w:color="auto"/>
          </w:divBdr>
        </w:div>
        <w:div w:id="1113523073">
          <w:marLeft w:val="0"/>
          <w:marRight w:val="0"/>
          <w:marTop w:val="0"/>
          <w:marBottom w:val="0"/>
          <w:divBdr>
            <w:top w:val="none" w:sz="0" w:space="0" w:color="auto"/>
            <w:left w:val="none" w:sz="0" w:space="0" w:color="auto"/>
            <w:bottom w:val="none" w:sz="0" w:space="0" w:color="auto"/>
            <w:right w:val="none" w:sz="0" w:space="0" w:color="auto"/>
          </w:divBdr>
        </w:div>
      </w:divsChild>
    </w:div>
    <w:div w:id="1852330106">
      <w:bodyDiv w:val="1"/>
      <w:marLeft w:val="0"/>
      <w:marRight w:val="0"/>
      <w:marTop w:val="0"/>
      <w:marBottom w:val="0"/>
      <w:divBdr>
        <w:top w:val="none" w:sz="0" w:space="0" w:color="auto"/>
        <w:left w:val="none" w:sz="0" w:space="0" w:color="auto"/>
        <w:bottom w:val="none" w:sz="0" w:space="0" w:color="auto"/>
        <w:right w:val="none" w:sz="0" w:space="0" w:color="auto"/>
      </w:divBdr>
      <w:divsChild>
        <w:div w:id="445079462">
          <w:marLeft w:val="0"/>
          <w:marRight w:val="0"/>
          <w:marTop w:val="0"/>
          <w:marBottom w:val="0"/>
          <w:divBdr>
            <w:top w:val="none" w:sz="0" w:space="0" w:color="auto"/>
            <w:left w:val="none" w:sz="0" w:space="0" w:color="auto"/>
            <w:bottom w:val="none" w:sz="0" w:space="0" w:color="auto"/>
            <w:right w:val="none" w:sz="0" w:space="0" w:color="auto"/>
          </w:divBdr>
        </w:div>
        <w:div w:id="139422106">
          <w:marLeft w:val="0"/>
          <w:marRight w:val="0"/>
          <w:marTop w:val="0"/>
          <w:marBottom w:val="0"/>
          <w:divBdr>
            <w:top w:val="none" w:sz="0" w:space="0" w:color="auto"/>
            <w:left w:val="none" w:sz="0" w:space="0" w:color="auto"/>
            <w:bottom w:val="none" w:sz="0" w:space="0" w:color="auto"/>
            <w:right w:val="none" w:sz="0" w:space="0" w:color="auto"/>
          </w:divBdr>
        </w:div>
      </w:divsChild>
    </w:div>
    <w:div w:id="1879313851">
      <w:bodyDiv w:val="1"/>
      <w:marLeft w:val="0"/>
      <w:marRight w:val="0"/>
      <w:marTop w:val="0"/>
      <w:marBottom w:val="0"/>
      <w:divBdr>
        <w:top w:val="none" w:sz="0" w:space="0" w:color="auto"/>
        <w:left w:val="none" w:sz="0" w:space="0" w:color="auto"/>
        <w:bottom w:val="none" w:sz="0" w:space="0" w:color="auto"/>
        <w:right w:val="none" w:sz="0" w:space="0" w:color="auto"/>
      </w:divBdr>
    </w:div>
    <w:div w:id="2023772961">
      <w:bodyDiv w:val="1"/>
      <w:marLeft w:val="0"/>
      <w:marRight w:val="0"/>
      <w:marTop w:val="0"/>
      <w:marBottom w:val="0"/>
      <w:divBdr>
        <w:top w:val="none" w:sz="0" w:space="0" w:color="auto"/>
        <w:left w:val="none" w:sz="0" w:space="0" w:color="auto"/>
        <w:bottom w:val="none" w:sz="0" w:space="0" w:color="auto"/>
        <w:right w:val="none" w:sz="0" w:space="0" w:color="auto"/>
      </w:divBdr>
    </w:div>
    <w:div w:id="2102026871">
      <w:bodyDiv w:val="1"/>
      <w:marLeft w:val="0"/>
      <w:marRight w:val="0"/>
      <w:marTop w:val="0"/>
      <w:marBottom w:val="0"/>
      <w:divBdr>
        <w:top w:val="none" w:sz="0" w:space="0" w:color="auto"/>
        <w:left w:val="none" w:sz="0" w:space="0" w:color="auto"/>
        <w:bottom w:val="none" w:sz="0" w:space="0" w:color="auto"/>
        <w:right w:val="none" w:sz="0" w:space="0" w:color="auto"/>
      </w:divBdr>
      <w:divsChild>
        <w:div w:id="1344430887">
          <w:marLeft w:val="0"/>
          <w:marRight w:val="0"/>
          <w:marTop w:val="0"/>
          <w:marBottom w:val="0"/>
          <w:divBdr>
            <w:top w:val="none" w:sz="0" w:space="0" w:color="auto"/>
            <w:left w:val="none" w:sz="0" w:space="0" w:color="auto"/>
            <w:bottom w:val="none" w:sz="0" w:space="0" w:color="auto"/>
            <w:right w:val="none" w:sz="0" w:space="0" w:color="auto"/>
          </w:divBdr>
          <w:divsChild>
            <w:div w:id="6867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7510">
      <w:bodyDiv w:val="1"/>
      <w:marLeft w:val="0"/>
      <w:marRight w:val="0"/>
      <w:marTop w:val="0"/>
      <w:marBottom w:val="0"/>
      <w:divBdr>
        <w:top w:val="none" w:sz="0" w:space="0" w:color="auto"/>
        <w:left w:val="none" w:sz="0" w:space="0" w:color="auto"/>
        <w:bottom w:val="none" w:sz="0" w:space="0" w:color="auto"/>
        <w:right w:val="none" w:sz="0" w:space="0" w:color="auto"/>
      </w:divBdr>
    </w:div>
    <w:div w:id="2126532591">
      <w:bodyDiv w:val="1"/>
      <w:marLeft w:val="0"/>
      <w:marRight w:val="0"/>
      <w:marTop w:val="0"/>
      <w:marBottom w:val="0"/>
      <w:divBdr>
        <w:top w:val="none" w:sz="0" w:space="0" w:color="auto"/>
        <w:left w:val="none" w:sz="0" w:space="0" w:color="auto"/>
        <w:bottom w:val="none" w:sz="0" w:space="0" w:color="auto"/>
        <w:right w:val="none" w:sz="0" w:space="0" w:color="auto"/>
      </w:divBdr>
    </w:div>
    <w:div w:id="213093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vances.sciencemag.org/content/6/5/eaaw7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newyorker.com/science/maria-konnikova/i-dont-want-to-be-right" TargetMode="External"/><Relationship Id="rId1" Type="http://schemas.openxmlformats.org/officeDocument/2006/relationships/hyperlink" Target="http://plato.stanford.edu/archives/spr2014/entries/e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8630</Words>
  <Characters>43064</Characters>
  <Application>Microsoft Office Word</Application>
  <DocSecurity>0</DocSecurity>
  <Lines>717</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51560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McCormick, Miriam</cp:lastModifiedBy>
  <cp:revision>3</cp:revision>
  <cp:lastPrinted>2020-05-26T13:16:00Z</cp:lastPrinted>
  <dcterms:created xsi:type="dcterms:W3CDTF">2020-06-26T14:40:00Z</dcterms:created>
  <dcterms:modified xsi:type="dcterms:W3CDTF">2020-06-29T01:20:00Z</dcterms:modified>
  <cp:category/>
</cp:coreProperties>
</file>